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DF" w:rsidRDefault="0085449C" w:rsidP="00976323">
      <w:pPr>
        <w:jc w:val="both"/>
        <w:rPr>
          <w:rFonts w:cstheme="minorHAnsi"/>
        </w:rPr>
      </w:pPr>
      <w:r>
        <w:rPr>
          <w:rFonts w:cstheme="minorHAnsi"/>
        </w:rPr>
        <w:t>E</w:t>
      </w:r>
      <w:r w:rsidR="00976323" w:rsidRPr="00476C75">
        <w:rPr>
          <w:rFonts w:cstheme="minorHAnsi"/>
        </w:rPr>
        <w:t>conomic growth</w:t>
      </w:r>
      <w:r>
        <w:rPr>
          <w:rFonts w:cstheme="minorHAnsi"/>
        </w:rPr>
        <w:t xml:space="preserve"> has</w:t>
      </w:r>
      <w:r w:rsidR="00976323" w:rsidRPr="00476C75">
        <w:rPr>
          <w:rFonts w:cstheme="minorHAnsi"/>
        </w:rPr>
        <w:t xml:space="preserve"> converged to its potential level</w:t>
      </w:r>
      <w:r>
        <w:rPr>
          <w:rFonts w:cstheme="minorHAnsi"/>
        </w:rPr>
        <w:t xml:space="preserve"> and preliminary a</w:t>
      </w:r>
      <w:r w:rsidR="00976323" w:rsidRPr="00476C75">
        <w:rPr>
          <w:rFonts w:cstheme="minorHAnsi"/>
        </w:rPr>
        <w:t xml:space="preserve">verage real GDP growth rate in 2017 amounted to </w:t>
      </w:r>
      <w:r w:rsidR="00356ABD">
        <w:rPr>
          <w:rFonts w:cstheme="minorHAnsi"/>
        </w:rPr>
        <w:t>5.0</w:t>
      </w:r>
      <w:r w:rsidR="00976323" w:rsidRPr="00476C75">
        <w:rPr>
          <w:rFonts w:cstheme="minorHAnsi"/>
        </w:rPr>
        <w:t xml:space="preserve">%. </w:t>
      </w:r>
      <w:r w:rsidR="00B65DF1" w:rsidRPr="00B65DF1">
        <w:rPr>
          <w:rFonts w:cstheme="minorHAnsi"/>
        </w:rPr>
        <w:t xml:space="preserve">Growth rate significantly </w:t>
      </w:r>
      <w:proofErr w:type="gramStart"/>
      <w:r w:rsidR="00B65DF1" w:rsidRPr="00B65DF1">
        <w:rPr>
          <w:rFonts w:cstheme="minorHAnsi"/>
        </w:rPr>
        <w:t>accedes</w:t>
      </w:r>
      <w:proofErr w:type="gramEnd"/>
      <w:r w:rsidR="00B65DF1" w:rsidRPr="00B65DF1">
        <w:rPr>
          <w:rFonts w:cstheme="minorHAnsi"/>
        </w:rPr>
        <w:t xml:space="preserve"> our projections, which were made for 2017 (4.5 percent according to BDD).</w:t>
      </w:r>
      <w:r w:rsidR="00B65DF1">
        <w:rPr>
          <w:rFonts w:ascii="Sylfaen" w:hAnsi="Sylfaen" w:cstheme="minorHAnsi"/>
        </w:rPr>
        <w:t xml:space="preserve"> </w:t>
      </w:r>
      <w:r w:rsidR="00976323" w:rsidRPr="00476C75">
        <w:rPr>
          <w:rFonts w:cstheme="minorHAnsi"/>
        </w:rPr>
        <w:t xml:space="preserve">Economic growth was mainly contributed by improvement in external trade of goods and services. </w:t>
      </w:r>
    </w:p>
    <w:p w:rsidR="003E3A73" w:rsidRDefault="003E3A73" w:rsidP="00976323">
      <w:pPr>
        <w:jc w:val="both"/>
        <w:rPr>
          <w:rFonts w:cstheme="minorHAnsi"/>
        </w:rPr>
      </w:pPr>
      <w:r w:rsidRPr="003E3A73">
        <w:rPr>
          <w:rFonts w:cstheme="minorHAnsi"/>
        </w:rPr>
        <w:t xml:space="preserve">Wave of strong positive tendencies in Georgian economic performance continues during 2018. According to the preliminary estimate, economic growth rate in </w:t>
      </w:r>
      <w:r w:rsidR="00724ADF">
        <w:rPr>
          <w:rFonts w:cstheme="minorHAnsi"/>
        </w:rPr>
        <w:t>April amounted to 6.5</w:t>
      </w:r>
      <w:r w:rsidRPr="003E3A73">
        <w:rPr>
          <w:rFonts w:cstheme="minorHAnsi"/>
        </w:rPr>
        <w:t xml:space="preserve"> percent and average growth of January-</w:t>
      </w:r>
      <w:r w:rsidR="00724ADF">
        <w:rPr>
          <w:rFonts w:cstheme="minorHAnsi"/>
        </w:rPr>
        <w:t xml:space="preserve">April </w:t>
      </w:r>
      <w:r w:rsidRPr="003E3A73">
        <w:rPr>
          <w:rFonts w:cstheme="minorHAnsi"/>
        </w:rPr>
        <w:t xml:space="preserve">equaled to </w:t>
      </w:r>
      <w:r w:rsidR="00724ADF">
        <w:rPr>
          <w:rFonts w:cstheme="minorHAnsi"/>
        </w:rPr>
        <w:t>5.5</w:t>
      </w:r>
      <w:r w:rsidRPr="003E3A73">
        <w:rPr>
          <w:rFonts w:cstheme="minorHAnsi"/>
        </w:rPr>
        <w:t xml:space="preserve"> percent.</w:t>
      </w:r>
    </w:p>
    <w:p w:rsidR="00B23E64" w:rsidRDefault="00B23E64" w:rsidP="00B23E64">
      <w:pPr>
        <w:jc w:val="both"/>
      </w:pPr>
      <w:r>
        <w:t xml:space="preserve">According to the Government projections, economic growth for 2018 will be around 5%. Net export and investments in real sector will be the key drivers that positively affects Georgia’s economic performance.  </w:t>
      </w:r>
    </w:p>
    <w:p w:rsidR="00976323" w:rsidRDefault="00976323" w:rsidP="00976323">
      <w:pPr>
        <w:jc w:val="both"/>
        <w:rPr>
          <w:rFonts w:cstheme="minorHAnsi"/>
        </w:rPr>
      </w:pPr>
      <w:r w:rsidRPr="00476C75">
        <w:rPr>
          <w:rFonts w:cstheme="minorHAnsi"/>
        </w:rPr>
        <w:t xml:space="preserve">Economic growth in the country is private sector driven.  In </w:t>
      </w:r>
      <w:r w:rsidR="003E3A73">
        <w:rPr>
          <w:rFonts w:cstheme="minorHAnsi"/>
        </w:rPr>
        <w:t>four quarter</w:t>
      </w:r>
      <w:r w:rsidRPr="00476C75">
        <w:rPr>
          <w:rFonts w:cstheme="minorHAnsi"/>
        </w:rPr>
        <w:t xml:space="preserve"> 2017 turnover of business sector has increased by 1</w:t>
      </w:r>
      <w:r w:rsidR="00DD4A1F">
        <w:rPr>
          <w:rFonts w:ascii="Sylfaen" w:hAnsi="Sylfaen" w:cstheme="minorHAnsi"/>
          <w:lang w:val="ka-GE"/>
        </w:rPr>
        <w:t>9</w:t>
      </w:r>
      <w:r w:rsidRPr="00476C75">
        <w:rPr>
          <w:rFonts w:cstheme="minorHAnsi"/>
        </w:rPr>
        <w:t>.</w:t>
      </w:r>
      <w:r w:rsidR="00FE4E9C">
        <w:rPr>
          <w:rFonts w:cstheme="minorHAnsi"/>
        </w:rPr>
        <w:t>4</w:t>
      </w:r>
      <w:r w:rsidRPr="00476C75">
        <w:rPr>
          <w:rFonts w:cstheme="minorHAnsi"/>
        </w:rPr>
        <w:t>%, while growth rate of production equaled to 1</w:t>
      </w:r>
      <w:r w:rsidR="00DD4A1F">
        <w:rPr>
          <w:rFonts w:cstheme="minorHAnsi"/>
        </w:rPr>
        <w:t>9</w:t>
      </w:r>
      <w:r w:rsidRPr="00476C75">
        <w:rPr>
          <w:rFonts w:cstheme="minorHAnsi"/>
        </w:rPr>
        <w:t xml:space="preserve">.6%.  Increase of turnover and production was observed in all sectors of the economy.  In the </w:t>
      </w:r>
      <w:r w:rsidR="00FE4E9C">
        <w:rPr>
          <w:rFonts w:cstheme="minorHAnsi"/>
        </w:rPr>
        <w:t xml:space="preserve">fourth </w:t>
      </w:r>
      <w:r w:rsidRPr="00476C75">
        <w:rPr>
          <w:rFonts w:cstheme="minorHAnsi"/>
        </w:rPr>
        <w:t>quarter of 2017, employment of business sector has increased by 6.3% (3</w:t>
      </w:r>
      <w:r w:rsidR="00FE4E9C">
        <w:rPr>
          <w:rFonts w:cstheme="minorHAnsi"/>
        </w:rPr>
        <w:t>9 thousand</w:t>
      </w:r>
      <w:r w:rsidRPr="00476C75">
        <w:rPr>
          <w:rFonts w:cstheme="minorHAnsi"/>
        </w:rPr>
        <w:t xml:space="preserve"> persons). </w:t>
      </w:r>
    </w:p>
    <w:p w:rsidR="00C77C45" w:rsidRDefault="00C77C45" w:rsidP="00976323">
      <w:pPr>
        <w:jc w:val="both"/>
        <w:rPr>
          <w:rFonts w:cstheme="minorHAnsi"/>
        </w:rPr>
      </w:pPr>
      <w:r w:rsidRPr="0085449C">
        <w:rPr>
          <w:rFonts w:cstheme="minorHAnsi"/>
        </w:rPr>
        <w:t>In line with high economic growth, economic resilience towards external shocks has increased and external vulnerability has declined. This is clearly visible from positive dynamics of current account balance</w:t>
      </w:r>
      <w:r w:rsidR="008F564D">
        <w:rPr>
          <w:rFonts w:cstheme="minorHAnsi"/>
        </w:rPr>
        <w:t xml:space="preserve"> observed during 2017</w:t>
      </w:r>
      <w:r w:rsidRPr="0085449C">
        <w:rPr>
          <w:rFonts w:cstheme="minorHAnsi"/>
        </w:rPr>
        <w:t>.</w:t>
      </w:r>
      <w:r w:rsidR="00EB4C23" w:rsidRPr="0085449C">
        <w:rPr>
          <w:rFonts w:cstheme="minorHAnsi"/>
        </w:rPr>
        <w:t xml:space="preserve"> </w:t>
      </w:r>
    </w:p>
    <w:p w:rsidR="008F564D" w:rsidRPr="00D0377C" w:rsidRDefault="008F564D" w:rsidP="00976323">
      <w:pPr>
        <w:jc w:val="both"/>
        <w:rPr>
          <w:rFonts w:ascii="Sylfaen" w:hAnsi="Sylfaen" w:cstheme="minorHAnsi"/>
          <w:lang w:val="ka-GE"/>
        </w:rPr>
      </w:pPr>
      <w:r w:rsidRPr="008F564D">
        <w:rPr>
          <w:rFonts w:cstheme="minorHAnsi"/>
        </w:rPr>
        <w:t xml:space="preserve">Current account deficit reached one of the lowest levels in recent years and amounted to 8.7 percent of GDP. Compared to the previous year current account deficit improved by 4.1 percentage point – 531.3 </w:t>
      </w:r>
      <w:proofErr w:type="spellStart"/>
      <w:r w:rsidRPr="008F564D">
        <w:rPr>
          <w:rFonts w:cstheme="minorHAnsi"/>
        </w:rPr>
        <w:t>mln</w:t>
      </w:r>
      <w:proofErr w:type="spellEnd"/>
      <w:r w:rsidRPr="008F564D">
        <w:rPr>
          <w:rFonts w:cstheme="minorHAnsi"/>
        </w:rPr>
        <w:t>. USD. To this end, primary balance of current account (Current account balance excluding Investment income balance) was positive and equaled to 0.8 percent of GDP. Positive primary balance represents exceptional case, as till this year in annual terms positive primary balance was not observed.</w:t>
      </w:r>
    </w:p>
    <w:p w:rsidR="00724ADF" w:rsidRDefault="000971E7" w:rsidP="000971E7">
      <w:pPr>
        <w:jc w:val="both"/>
        <w:rPr>
          <w:rFonts w:cstheme="minorHAnsi"/>
        </w:rPr>
      </w:pPr>
      <w:r w:rsidRPr="00476C75">
        <w:rPr>
          <w:rFonts w:cstheme="minorHAnsi"/>
        </w:rPr>
        <w:t xml:space="preserve">Significant steps </w:t>
      </w:r>
      <w:r w:rsidR="00DD4A1F">
        <w:rPr>
          <w:rFonts w:ascii="Sylfaen" w:hAnsi="Sylfaen" w:cstheme="minorHAnsi"/>
        </w:rPr>
        <w:t>under</w:t>
      </w:r>
      <w:r w:rsidRPr="00476C75">
        <w:rPr>
          <w:rFonts w:cstheme="minorHAnsi"/>
        </w:rPr>
        <w:t>taken</w:t>
      </w:r>
      <w:r w:rsidR="00DD4A1F">
        <w:rPr>
          <w:rFonts w:cstheme="minorHAnsi"/>
        </w:rPr>
        <w:t xml:space="preserve"> by </w:t>
      </w:r>
      <w:proofErr w:type="spellStart"/>
      <w:r w:rsidR="00DD4A1F">
        <w:rPr>
          <w:rFonts w:cstheme="minorHAnsi"/>
        </w:rPr>
        <w:t>GoG</w:t>
      </w:r>
      <w:proofErr w:type="spellEnd"/>
      <w:r w:rsidRPr="00476C75">
        <w:rPr>
          <w:rFonts w:cstheme="minorHAnsi"/>
        </w:rPr>
        <w:t xml:space="preserve"> to increase the export potential of the products produced in Georgia</w:t>
      </w:r>
      <w:r w:rsidR="00DD4A1F">
        <w:rPr>
          <w:rFonts w:cstheme="minorHAnsi"/>
        </w:rPr>
        <w:t xml:space="preserve"> have already brought </w:t>
      </w:r>
      <w:r w:rsidR="00F40891">
        <w:rPr>
          <w:rFonts w:cstheme="minorHAnsi"/>
        </w:rPr>
        <w:t>the tangible results</w:t>
      </w:r>
      <w:r w:rsidRPr="00476C75">
        <w:rPr>
          <w:rFonts w:cstheme="minorHAnsi"/>
        </w:rPr>
        <w:t xml:space="preserve">. </w:t>
      </w:r>
      <w:r w:rsidR="00EA0FF3">
        <w:rPr>
          <w:rFonts w:cstheme="minorHAnsi"/>
        </w:rPr>
        <w:t xml:space="preserve"> </w:t>
      </w:r>
      <w:r w:rsidR="00EA0FF3" w:rsidRPr="00476C75">
        <w:rPr>
          <w:rFonts w:cstheme="minorHAnsi"/>
        </w:rPr>
        <w:t>Since September 2016</w:t>
      </w:r>
      <w:r w:rsidR="00524818">
        <w:rPr>
          <w:rFonts w:cstheme="minorHAnsi"/>
        </w:rPr>
        <w:t>,</w:t>
      </w:r>
      <w:r w:rsidR="00EA0FF3" w:rsidRPr="00476C75">
        <w:rPr>
          <w:rFonts w:cstheme="minorHAnsi"/>
        </w:rPr>
        <w:t xml:space="preserve"> the stable growth of export is observed.</w:t>
      </w:r>
      <w:r w:rsidR="00EA0FF3">
        <w:rPr>
          <w:rFonts w:cstheme="minorHAnsi"/>
        </w:rPr>
        <w:t xml:space="preserve"> </w:t>
      </w:r>
      <w:r w:rsidR="00574FAB">
        <w:rPr>
          <w:rFonts w:cstheme="minorHAnsi"/>
        </w:rPr>
        <w:t xml:space="preserve">Export growth trend continues in 2018 as well. </w:t>
      </w:r>
    </w:p>
    <w:p w:rsidR="004D08E6" w:rsidRDefault="004D08E6" w:rsidP="000971E7">
      <w:pPr>
        <w:jc w:val="both"/>
        <w:rPr>
          <w:rFonts w:cstheme="minorHAnsi"/>
        </w:rPr>
      </w:pPr>
      <w:r>
        <w:rPr>
          <w:rFonts w:cstheme="minorHAnsi"/>
        </w:rPr>
        <w:t>F</w:t>
      </w:r>
      <w:r w:rsidRPr="00476C75">
        <w:rPr>
          <w:rFonts w:cstheme="minorHAnsi"/>
        </w:rPr>
        <w:t>oreign trade turnover in Georgia in 2017 amou</w:t>
      </w:r>
      <w:r w:rsidR="00C65C06">
        <w:rPr>
          <w:rFonts w:cstheme="minorHAnsi"/>
        </w:rPr>
        <w:t>nted to USD 10 710.4</w:t>
      </w:r>
      <w:r w:rsidRPr="00476C75">
        <w:rPr>
          <w:rFonts w:cstheme="minorHAnsi"/>
        </w:rPr>
        <w:t xml:space="preserve"> million, which is 13.8 percent more than the previous year; Exports was USD 2728.0 million (29.1 percent more) </w:t>
      </w:r>
      <w:r w:rsidR="00FA510D">
        <w:rPr>
          <w:rFonts w:cstheme="minorHAnsi"/>
        </w:rPr>
        <w:t>and imports amounted to USD 7982.4</w:t>
      </w:r>
      <w:r w:rsidRPr="00476C75">
        <w:rPr>
          <w:rFonts w:cstheme="minorHAnsi"/>
        </w:rPr>
        <w:t xml:space="preserve"> million (9.4 percent more).</w:t>
      </w:r>
      <w:r w:rsidR="00FA510D">
        <w:rPr>
          <w:rFonts w:cstheme="minorHAnsi"/>
        </w:rPr>
        <w:t xml:space="preserve"> </w:t>
      </w:r>
    </w:p>
    <w:p w:rsidR="000971E7" w:rsidRPr="00476C75" w:rsidRDefault="000971E7" w:rsidP="000971E7">
      <w:pPr>
        <w:jc w:val="both"/>
        <w:rPr>
          <w:rFonts w:cstheme="minorHAnsi"/>
        </w:rPr>
      </w:pPr>
      <w:r w:rsidRPr="00476C75">
        <w:rPr>
          <w:rFonts w:cstheme="minorHAnsi"/>
        </w:rPr>
        <w:t xml:space="preserve">Alongside with the export of goods there is an impressive increase in service export. As a result, significant improvements in trade balance of goods and </w:t>
      </w:r>
      <w:proofErr w:type="gramStart"/>
      <w:r w:rsidRPr="00476C75">
        <w:rPr>
          <w:rFonts w:cstheme="minorHAnsi"/>
        </w:rPr>
        <w:t>services was</w:t>
      </w:r>
      <w:proofErr w:type="gramEnd"/>
      <w:r w:rsidRPr="00476C75">
        <w:rPr>
          <w:rFonts w:cstheme="minorHAnsi"/>
        </w:rPr>
        <w:t xml:space="preserve"> observed in 2017. The trade balance improved by USD </w:t>
      </w:r>
      <w:r w:rsidR="00C73A46">
        <w:rPr>
          <w:rFonts w:cstheme="minorHAnsi"/>
        </w:rPr>
        <w:t>477.8</w:t>
      </w:r>
      <w:r w:rsidRPr="00476C75">
        <w:rPr>
          <w:rFonts w:cstheme="minorHAnsi"/>
        </w:rPr>
        <w:t xml:space="preserve"> million (</w:t>
      </w:r>
      <w:r w:rsidR="00881FC2">
        <w:rPr>
          <w:rFonts w:cstheme="minorHAnsi"/>
        </w:rPr>
        <w:t>21.2</w:t>
      </w:r>
      <w:r w:rsidRPr="00476C75">
        <w:rPr>
          <w:rFonts w:cstheme="minorHAnsi"/>
        </w:rPr>
        <w:t xml:space="preserve"> percent). </w:t>
      </w:r>
    </w:p>
    <w:p w:rsidR="007E33C8" w:rsidRDefault="000971E7" w:rsidP="000971E7">
      <w:pPr>
        <w:jc w:val="both"/>
        <w:rPr>
          <w:rFonts w:cstheme="minorHAnsi"/>
        </w:rPr>
      </w:pPr>
      <w:r w:rsidRPr="00476C75">
        <w:rPr>
          <w:rFonts w:cstheme="minorHAnsi"/>
        </w:rPr>
        <w:t>An important source of improvement of service and overall trade balance represent the international tourism revenues. During the past five years, tourism has become one of the most important sectors of the economy. In 2017, international tourism revenues has increased by 27.0 percent (USD 584.</w:t>
      </w:r>
      <w:r w:rsidR="00EA19AD">
        <w:rPr>
          <w:rFonts w:cstheme="minorHAnsi"/>
        </w:rPr>
        <w:t>9</w:t>
      </w:r>
      <w:r w:rsidRPr="00476C75">
        <w:rPr>
          <w:rFonts w:cstheme="minorHAnsi"/>
        </w:rPr>
        <w:t xml:space="preserve"> million more) and amounted to USD 2,75</w:t>
      </w:r>
      <w:r w:rsidR="00EA19AD">
        <w:rPr>
          <w:rFonts w:cstheme="minorHAnsi"/>
        </w:rPr>
        <w:t>1</w:t>
      </w:r>
      <w:r w:rsidRPr="00476C75">
        <w:rPr>
          <w:rFonts w:cstheme="minorHAnsi"/>
        </w:rPr>
        <w:t>.3 million. Revenues from tourism accounts for 2</w:t>
      </w:r>
      <w:r w:rsidR="007E33C8">
        <w:rPr>
          <w:rFonts w:cstheme="minorHAnsi"/>
        </w:rPr>
        <w:t>7</w:t>
      </w:r>
      <w:r w:rsidRPr="00476C75">
        <w:rPr>
          <w:rFonts w:cstheme="minorHAnsi"/>
        </w:rPr>
        <w:t xml:space="preserve"> percent of total current account inflows.</w:t>
      </w:r>
      <w:r>
        <w:rPr>
          <w:rFonts w:cstheme="minorHAnsi"/>
        </w:rPr>
        <w:t xml:space="preserve"> </w:t>
      </w:r>
      <w:r w:rsidR="007E33C8">
        <w:rPr>
          <w:rFonts w:cstheme="minorHAnsi"/>
        </w:rPr>
        <w:t xml:space="preserve"> </w:t>
      </w:r>
      <w:proofErr w:type="gramStart"/>
      <w:r w:rsidR="007E33C8">
        <w:rPr>
          <w:rFonts w:cstheme="minorHAnsi"/>
        </w:rPr>
        <w:t>Strong positive tendencies in tourism revenues was</w:t>
      </w:r>
      <w:proofErr w:type="gramEnd"/>
      <w:r w:rsidR="007E33C8">
        <w:rPr>
          <w:rFonts w:cstheme="minorHAnsi"/>
        </w:rPr>
        <w:t xml:space="preserve"> observed in 2018</w:t>
      </w:r>
      <w:r w:rsidR="0061381D">
        <w:rPr>
          <w:rFonts w:cstheme="minorHAnsi"/>
        </w:rPr>
        <w:t xml:space="preserve"> as well</w:t>
      </w:r>
      <w:r w:rsidR="007E33C8">
        <w:rPr>
          <w:rFonts w:cstheme="minorHAnsi"/>
        </w:rPr>
        <w:t>. In January-</w:t>
      </w:r>
      <w:r w:rsidR="00724ADF">
        <w:rPr>
          <w:rFonts w:cstheme="minorHAnsi"/>
        </w:rPr>
        <w:t>April</w:t>
      </w:r>
      <w:r w:rsidR="007E33C8">
        <w:rPr>
          <w:rFonts w:cstheme="minorHAnsi"/>
        </w:rPr>
        <w:t xml:space="preserve"> international tourism revenues increased by </w:t>
      </w:r>
      <w:r w:rsidR="00724ADF">
        <w:rPr>
          <w:rFonts w:cstheme="minorHAnsi"/>
        </w:rPr>
        <w:t>28.4</w:t>
      </w:r>
      <w:r w:rsidR="004445D1">
        <w:rPr>
          <w:rFonts w:cstheme="minorHAnsi"/>
        </w:rPr>
        <w:t xml:space="preserve"> percent</w:t>
      </w:r>
      <w:r w:rsidR="0061381D">
        <w:rPr>
          <w:rFonts w:cstheme="minorHAnsi"/>
        </w:rPr>
        <w:t xml:space="preserve"> and amounted to </w:t>
      </w:r>
      <w:r w:rsidR="00724ADF">
        <w:rPr>
          <w:rFonts w:cstheme="minorHAnsi"/>
        </w:rPr>
        <w:t>799.4</w:t>
      </w:r>
      <w:r w:rsidR="0061381D">
        <w:rPr>
          <w:rFonts w:cstheme="minorHAnsi"/>
        </w:rPr>
        <w:t xml:space="preserve"> </w:t>
      </w:r>
      <w:proofErr w:type="spellStart"/>
      <w:r w:rsidR="0061381D">
        <w:rPr>
          <w:rFonts w:cstheme="minorHAnsi"/>
        </w:rPr>
        <w:t>mln</w:t>
      </w:r>
      <w:proofErr w:type="spellEnd"/>
      <w:r w:rsidR="0061381D">
        <w:rPr>
          <w:rFonts w:cstheme="minorHAnsi"/>
        </w:rPr>
        <w:t>. USD</w:t>
      </w:r>
      <w:r w:rsidR="004445D1">
        <w:rPr>
          <w:rFonts w:cstheme="minorHAnsi"/>
        </w:rPr>
        <w:t xml:space="preserve">. </w:t>
      </w:r>
    </w:p>
    <w:p w:rsidR="000971E7" w:rsidRPr="00B4262B" w:rsidRDefault="000971E7" w:rsidP="000971E7">
      <w:pPr>
        <w:jc w:val="both"/>
        <w:rPr>
          <w:rFonts w:cstheme="minorHAnsi"/>
        </w:rPr>
      </w:pPr>
    </w:p>
    <w:p w:rsidR="00943C9C" w:rsidRDefault="003F64B0" w:rsidP="00476C75">
      <w:pPr>
        <w:jc w:val="both"/>
        <w:rPr>
          <w:rFonts w:cstheme="minorHAnsi"/>
        </w:rPr>
      </w:pPr>
      <w:r w:rsidRPr="00476C75">
        <w:rPr>
          <w:rFonts w:cstheme="minorHAnsi"/>
        </w:rPr>
        <w:lastRenderedPageBreak/>
        <w:t xml:space="preserve">Recent structural reforms, as key factor to achieve higher and more inclusive growth, are supported by IMF program.  </w:t>
      </w:r>
    </w:p>
    <w:p w:rsidR="00943C9C" w:rsidRDefault="003F64B0" w:rsidP="00476C75">
      <w:pPr>
        <w:jc w:val="both"/>
        <w:rPr>
          <w:rFonts w:cstheme="minorHAnsi"/>
        </w:rPr>
      </w:pPr>
      <w:r w:rsidRPr="00476C75">
        <w:rPr>
          <w:rFonts w:cstheme="minorHAnsi"/>
        </w:rPr>
        <w:t>Upgrading infrastructure and strengthening trade integrat</w:t>
      </w:r>
      <w:r w:rsidR="00943C9C">
        <w:rPr>
          <w:rFonts w:cstheme="minorHAnsi"/>
        </w:rPr>
        <w:t>ion will boost growth prospects.</w:t>
      </w:r>
      <w:r w:rsidRPr="00476C75">
        <w:rPr>
          <w:rFonts w:cstheme="minorHAnsi"/>
        </w:rPr>
        <w:t xml:space="preserve"> </w:t>
      </w:r>
    </w:p>
    <w:p w:rsidR="00943C9C" w:rsidRDefault="003F64B0" w:rsidP="00476C75">
      <w:pPr>
        <w:jc w:val="both"/>
        <w:rPr>
          <w:rFonts w:cstheme="minorHAnsi"/>
        </w:rPr>
      </w:pPr>
      <w:r w:rsidRPr="00943C9C">
        <w:rPr>
          <w:rFonts w:cstheme="minorHAnsi"/>
          <w:b/>
        </w:rPr>
        <w:t>Pension reform</w:t>
      </w:r>
      <w:r w:rsidR="00943C9C">
        <w:rPr>
          <w:rFonts w:cstheme="minorHAnsi"/>
        </w:rPr>
        <w:t xml:space="preserve"> -</w:t>
      </w:r>
      <w:r w:rsidRPr="00476C75">
        <w:rPr>
          <w:rFonts w:cstheme="minorHAnsi"/>
        </w:rPr>
        <w:t xml:space="preserve"> will have very important economic implications, including encouragement of savings and development of long-term financial resources thus boosting capital market development. </w:t>
      </w:r>
      <w:r w:rsidR="00943C9C" w:rsidRPr="00476C75">
        <w:rPr>
          <w:rFonts w:cstheme="minorHAnsi"/>
        </w:rPr>
        <w:t xml:space="preserve">The draft law on “Private pensions </w:t>
      </w:r>
      <w:proofErr w:type="gramStart"/>
      <w:r w:rsidR="00943C9C" w:rsidRPr="00476C75">
        <w:rPr>
          <w:rFonts w:cstheme="minorHAnsi"/>
        </w:rPr>
        <w:t>Saving</w:t>
      </w:r>
      <w:proofErr w:type="gramEnd"/>
      <w:r w:rsidR="00943C9C" w:rsidRPr="00476C75">
        <w:rPr>
          <w:rFonts w:cstheme="minorHAnsi"/>
        </w:rPr>
        <w:t>” is submitted to the parliament</w:t>
      </w:r>
      <w:r w:rsidR="004F1890">
        <w:rPr>
          <w:rFonts w:cstheme="minorHAnsi"/>
        </w:rPr>
        <w:t xml:space="preserve"> and </w:t>
      </w:r>
      <w:r w:rsidR="005D33E7">
        <w:rPr>
          <w:rFonts w:cstheme="minorHAnsi"/>
        </w:rPr>
        <w:t>committee</w:t>
      </w:r>
      <w:r w:rsidR="004F1890">
        <w:rPr>
          <w:rFonts w:cstheme="minorHAnsi"/>
        </w:rPr>
        <w:t xml:space="preserve"> hearings a</w:t>
      </w:r>
      <w:r w:rsidR="005D33E7">
        <w:rPr>
          <w:rFonts w:cstheme="minorHAnsi"/>
        </w:rPr>
        <w:t>re ongoing</w:t>
      </w:r>
      <w:r w:rsidR="00943C9C" w:rsidRPr="00476C75">
        <w:rPr>
          <w:rFonts w:cstheme="minorHAnsi"/>
        </w:rPr>
        <w:t>.</w:t>
      </w:r>
      <w:r w:rsidR="00943C9C" w:rsidRPr="005E7A55">
        <w:rPr>
          <w:rFonts w:cstheme="minorHAnsi"/>
        </w:rPr>
        <w:t xml:space="preserve"> The work on secondary legislation package is ongoing.</w:t>
      </w:r>
      <w:r w:rsidR="00943C9C">
        <w:rPr>
          <w:rFonts w:cstheme="minorHAnsi"/>
        </w:rPr>
        <w:t xml:space="preserve"> </w:t>
      </w:r>
      <w:r w:rsidR="00943C9C" w:rsidRPr="00CF5F80">
        <w:rPr>
          <w:rFonts w:cstheme="minorHAnsi"/>
        </w:rPr>
        <w:t>The draft of the roadmap that includes the evaluation of structure, resources and other infrastructure of the pension agency has been finalized, as well as development of IT infrastructure is in progress.</w:t>
      </w:r>
      <w:r w:rsidR="00943C9C" w:rsidRPr="005E7A55">
        <w:rPr>
          <w:rFonts w:cstheme="minorHAnsi"/>
        </w:rPr>
        <w:t xml:space="preserve">  </w:t>
      </w:r>
      <w:r w:rsidR="00943C9C" w:rsidRPr="00476C75">
        <w:rPr>
          <w:rFonts w:cstheme="minorHAnsi"/>
        </w:rPr>
        <w:t xml:space="preserve">Herewith, </w:t>
      </w:r>
      <w:r w:rsidR="00943C9C">
        <w:rPr>
          <w:rFonts w:cstheme="minorHAnsi"/>
        </w:rPr>
        <w:t xml:space="preserve">MOESD is actively </w:t>
      </w:r>
      <w:r w:rsidR="00943C9C" w:rsidRPr="00476C75">
        <w:rPr>
          <w:rFonts w:cstheme="minorHAnsi"/>
        </w:rPr>
        <w:t>work</w:t>
      </w:r>
      <w:r w:rsidR="00943C9C">
        <w:rPr>
          <w:rFonts w:cstheme="minorHAnsi"/>
        </w:rPr>
        <w:t>ing</w:t>
      </w:r>
      <w:r w:rsidR="00943C9C" w:rsidRPr="00476C75">
        <w:rPr>
          <w:rFonts w:cstheme="minorHAnsi"/>
        </w:rPr>
        <w:t xml:space="preserve"> on the</w:t>
      </w:r>
      <w:r w:rsidR="00943C9C">
        <w:rPr>
          <w:rFonts w:cstheme="minorHAnsi"/>
        </w:rPr>
        <w:t xml:space="preserve"> elaboration of the </w:t>
      </w:r>
      <w:r w:rsidR="00943C9C" w:rsidRPr="00476C75">
        <w:rPr>
          <w:rFonts w:cstheme="minorHAnsi"/>
        </w:rPr>
        <w:t xml:space="preserve">draft law on “Supplementary Pensions Saving”. </w:t>
      </w:r>
      <w:r w:rsidR="00943C9C">
        <w:rPr>
          <w:rFonts w:ascii="Sylfaen" w:hAnsi="Sylfaen" w:cstheme="minorHAnsi"/>
          <w:lang w:val="ka-GE"/>
        </w:rPr>
        <w:t xml:space="preserve"> </w:t>
      </w:r>
    </w:p>
    <w:p w:rsidR="003F64B0" w:rsidRDefault="003F64B0" w:rsidP="00476C75">
      <w:pPr>
        <w:jc w:val="both"/>
        <w:rPr>
          <w:rFonts w:cstheme="minorHAnsi"/>
        </w:rPr>
      </w:pPr>
      <w:r w:rsidRPr="00943C9C">
        <w:rPr>
          <w:rFonts w:cstheme="minorHAnsi"/>
          <w:b/>
        </w:rPr>
        <w:t>Capital market development</w:t>
      </w:r>
      <w:r w:rsidRPr="00476C75">
        <w:rPr>
          <w:rFonts w:cstheme="minorHAnsi"/>
        </w:rPr>
        <w:t xml:space="preserve"> will improve access to long-term financial resources, foster investment in the economy and increase resilience of the financial system against shocks.  The draft law on taxation and administration changes in Georgian tax code, needed for capital market development has enacted. </w:t>
      </w:r>
      <w:proofErr w:type="spellStart"/>
      <w:r w:rsidRPr="00476C75">
        <w:rPr>
          <w:rFonts w:cstheme="minorHAnsi"/>
        </w:rPr>
        <w:t>MoESD</w:t>
      </w:r>
      <w:proofErr w:type="spellEnd"/>
      <w:r w:rsidRPr="00476C75">
        <w:rPr>
          <w:rFonts w:cstheme="minorHAnsi"/>
        </w:rPr>
        <w:t xml:space="preserve"> is actively working on the elaboration of draft on “Investment Funds”.  </w:t>
      </w:r>
    </w:p>
    <w:p w:rsidR="003F64B0" w:rsidRDefault="003F64B0" w:rsidP="00476C75">
      <w:pPr>
        <w:jc w:val="both"/>
        <w:rPr>
          <w:rFonts w:cstheme="minorHAnsi"/>
        </w:rPr>
      </w:pPr>
      <w:r w:rsidRPr="00943C9C">
        <w:rPr>
          <w:rFonts w:cstheme="minorHAnsi"/>
          <w:b/>
        </w:rPr>
        <w:t>The new Public-Private Partnership (PPP) law</w:t>
      </w:r>
      <w:r w:rsidRPr="00476C75">
        <w:rPr>
          <w:rFonts w:cstheme="minorHAnsi"/>
        </w:rPr>
        <w:t xml:space="preserve"> will promote investment and enhance cooperation between state and private sectors, thus increasing efficiency and productivity of public infrastructure/services. </w:t>
      </w:r>
      <w:r w:rsidR="00724ADF">
        <w:rPr>
          <w:rFonts w:cstheme="minorHAnsi"/>
        </w:rPr>
        <w:t xml:space="preserve">New </w:t>
      </w:r>
      <w:r w:rsidRPr="00476C75">
        <w:rPr>
          <w:rFonts w:cstheme="minorHAnsi"/>
        </w:rPr>
        <w:t xml:space="preserve">law on “Public Private Partnership” </w:t>
      </w:r>
      <w:r w:rsidR="00724ADF">
        <w:rPr>
          <w:rFonts w:cstheme="minorHAnsi"/>
        </w:rPr>
        <w:t>was adopted by</w:t>
      </w:r>
      <w:r w:rsidRPr="00476C75">
        <w:rPr>
          <w:rFonts w:cstheme="minorHAnsi"/>
        </w:rPr>
        <w:t xml:space="preserve"> the parliament</w:t>
      </w:r>
      <w:r w:rsidR="000A7E4D">
        <w:rPr>
          <w:rFonts w:cstheme="minorHAnsi"/>
        </w:rPr>
        <w:t>.</w:t>
      </w:r>
      <w:r w:rsidRPr="00476C75">
        <w:rPr>
          <w:rFonts w:cstheme="minorHAnsi"/>
        </w:rPr>
        <w:t xml:space="preserve">  At the same time,</w:t>
      </w:r>
      <w:r w:rsidR="000A7E4D">
        <w:rPr>
          <w:rFonts w:cstheme="minorHAnsi"/>
        </w:rPr>
        <w:t xml:space="preserve"> with the involvement of IMF</w:t>
      </w:r>
      <w:r w:rsidRPr="00476C75">
        <w:rPr>
          <w:rFonts w:cstheme="minorHAnsi"/>
        </w:rPr>
        <w:t xml:space="preserve"> work on secondary legislation and guidelines for enabling PPP framework is in progress. </w:t>
      </w:r>
      <w:r w:rsidR="00B65DF1">
        <w:rPr>
          <w:rFonts w:cstheme="minorHAnsi"/>
        </w:rPr>
        <w:t>We have already reviewed recommendations submitted by IMF and are in the process of incorporating them into secondary legislation.</w:t>
      </w:r>
    </w:p>
    <w:p w:rsidR="003F64B0" w:rsidRDefault="003F64B0" w:rsidP="00476C75">
      <w:pPr>
        <w:jc w:val="both"/>
        <w:rPr>
          <w:rFonts w:cstheme="minorHAnsi"/>
        </w:rPr>
      </w:pPr>
      <w:r w:rsidRPr="00943C9C">
        <w:rPr>
          <w:rFonts w:cstheme="minorHAnsi"/>
          <w:b/>
        </w:rPr>
        <w:t>The new insolvency law for non-financial corporations</w:t>
      </w:r>
      <w:r w:rsidRPr="00476C75">
        <w:rPr>
          <w:rFonts w:cstheme="minorHAnsi"/>
        </w:rPr>
        <w:t xml:space="preserve"> will</w:t>
      </w:r>
      <w:r w:rsidR="00943C9C">
        <w:rPr>
          <w:rFonts w:cstheme="minorHAnsi"/>
        </w:rPr>
        <w:t xml:space="preserve"> establish</w:t>
      </w:r>
      <w:r w:rsidRPr="00476C75">
        <w:rPr>
          <w:rFonts w:cstheme="minorHAnsi"/>
        </w:rPr>
        <w:t xml:space="preserve"> </w:t>
      </w:r>
      <w:r w:rsidR="00943C9C" w:rsidRPr="00943C9C">
        <w:rPr>
          <w:rFonts w:cstheme="minorHAnsi"/>
        </w:rPr>
        <w:t xml:space="preserve">properly functioning insolvency system that is in line with best international practice. </w:t>
      </w:r>
      <w:r w:rsidRPr="00476C75">
        <w:rPr>
          <w:rFonts w:cstheme="minorHAnsi"/>
        </w:rPr>
        <w:t xml:space="preserve">The Working draft law on “Insolvency proceedings” has already been elaborated and intergovernmental </w:t>
      </w:r>
      <w:proofErr w:type="gramStart"/>
      <w:r w:rsidRPr="00476C75">
        <w:rPr>
          <w:rFonts w:cstheme="minorHAnsi"/>
        </w:rPr>
        <w:t>consultations  are</w:t>
      </w:r>
      <w:proofErr w:type="gramEnd"/>
      <w:r w:rsidRPr="00476C75">
        <w:rPr>
          <w:rFonts w:cstheme="minorHAnsi"/>
        </w:rPr>
        <w:t xml:space="preserve"> ongoing. </w:t>
      </w:r>
      <w:r w:rsidR="00B65DF1">
        <w:rPr>
          <w:rFonts w:cstheme="minorHAnsi"/>
        </w:rPr>
        <w:t>As well we are closely working with private sector representatives to updating existing draft law.</w:t>
      </w:r>
    </w:p>
    <w:p w:rsidR="00A56B2C" w:rsidRDefault="00A56B2C" w:rsidP="00A56B2C">
      <w:pPr>
        <w:jc w:val="both"/>
        <w:rPr>
          <w:rFonts w:cstheme="minorHAnsi"/>
        </w:rPr>
      </w:pPr>
      <w:r w:rsidRPr="00A56B2C">
        <w:rPr>
          <w:rFonts w:cstheme="minorHAnsi"/>
          <w:b/>
        </w:rPr>
        <w:t xml:space="preserve">Business House -   </w:t>
      </w:r>
      <w:r w:rsidRPr="00A56B2C">
        <w:rPr>
          <w:rFonts w:cstheme="minorHAnsi"/>
        </w:rPr>
        <w:t xml:space="preserve">will significantly reduce time and resources of the private sector needed for dealing with bureaucracy. Business House will provide over 800 services to businesses under one centralized location (both physical and digital) currently delivered by more than 60 public institutions. </w:t>
      </w:r>
      <w:r>
        <w:rPr>
          <w:rFonts w:cstheme="minorHAnsi"/>
        </w:rPr>
        <w:t xml:space="preserve">Construction of Physical infrastructure is ongoing. For the digitalization and integration of services into unified web portal action plan has been elaborated. </w:t>
      </w:r>
      <w:r w:rsidRPr="00A56B2C">
        <w:rPr>
          <w:rFonts w:cstheme="minorHAnsi"/>
        </w:rPr>
        <w:t xml:space="preserve">According the plan about 400 services will be integrated by the end of </w:t>
      </w:r>
      <w:r>
        <w:rPr>
          <w:rFonts w:cstheme="minorHAnsi"/>
        </w:rPr>
        <w:t>2018, which</w:t>
      </w:r>
      <w:r w:rsidRPr="00A56B2C">
        <w:rPr>
          <w:rFonts w:cstheme="minorHAnsi"/>
        </w:rPr>
        <w:t xml:space="preserve"> will cover up to 80% of the requested monthly frequency of services and will constitute 50% of the overall services. </w:t>
      </w:r>
    </w:p>
    <w:p w:rsidR="00B23E64" w:rsidRDefault="00A56B2C" w:rsidP="00B23E64">
      <w:pPr>
        <w:jc w:val="both"/>
      </w:pPr>
      <w:r w:rsidRPr="00A56B2C">
        <w:rPr>
          <w:rFonts w:cstheme="minorHAnsi"/>
          <w:b/>
        </w:rPr>
        <w:t>Land Reform</w:t>
      </w:r>
      <w:r>
        <w:rPr>
          <w:rFonts w:cstheme="minorHAnsi"/>
        </w:rPr>
        <w:t xml:space="preserve"> - </w:t>
      </w:r>
      <w:r w:rsidR="00B23E64">
        <w:t xml:space="preserve">Land registration will be pivotal for rural and agricultural development. Land cadasters are important to protect property rights, simplify land transactions and provide collateral for borrowing. We have simplified land registration, especially for agricultural land plots, through a fee waiver program. We will assist citizens in searching for property ownership documents and facilitate dispute resolution through mediation. Since the launch of the project, over 388 000 land parcels have been registered within the Land Reform and 753 disputes were resolved through mediation. </w:t>
      </w:r>
      <w:r w:rsidR="00B23E64" w:rsidRPr="00724ADF">
        <w:t xml:space="preserve">The Government reimbursed the fees of 197 931 cadastral survey plans. </w:t>
      </w:r>
      <w:r w:rsidR="00B23E64">
        <w:t>Since the launch of the Reform, the number of citizens’ applications has increased by 64%.</w:t>
      </w:r>
    </w:p>
    <w:p w:rsidR="00C63845" w:rsidRPr="00476C75" w:rsidRDefault="003E7EEF" w:rsidP="00476C75">
      <w:pPr>
        <w:jc w:val="both"/>
        <w:rPr>
          <w:rFonts w:cstheme="minorHAnsi"/>
        </w:rPr>
      </w:pPr>
      <w:r w:rsidRPr="00F705DD">
        <w:rPr>
          <w:rFonts w:cstheme="minorHAnsi"/>
          <w:b/>
        </w:rPr>
        <w:lastRenderedPageBreak/>
        <w:t>Profit tax reform</w:t>
      </w:r>
      <w:r w:rsidRPr="00476C75">
        <w:rPr>
          <w:rFonts w:cstheme="minorHAnsi"/>
        </w:rPr>
        <w:t xml:space="preserve">, </w:t>
      </w:r>
      <w:r w:rsidR="00EB4452" w:rsidRPr="00476C75">
        <w:rPr>
          <w:rFonts w:cstheme="minorHAnsi"/>
        </w:rPr>
        <w:t xml:space="preserve">already enacted </w:t>
      </w:r>
      <w:r w:rsidRPr="00476C75">
        <w:rPr>
          <w:rFonts w:cstheme="minorHAnsi"/>
        </w:rPr>
        <w:t xml:space="preserve">since 2017, allows private sector instead of paying taxes, apply earned profits into new investments, expanding business activities and creating additional jobs. Starting from January 2017, </w:t>
      </w:r>
      <w:r w:rsidRPr="00724ADF">
        <w:rPr>
          <w:rFonts w:cstheme="minorHAnsi"/>
        </w:rPr>
        <w:t xml:space="preserve">around 500 </w:t>
      </w:r>
      <w:proofErr w:type="spellStart"/>
      <w:r w:rsidRPr="00724ADF">
        <w:rPr>
          <w:rFonts w:cstheme="minorHAnsi"/>
        </w:rPr>
        <w:t>mln</w:t>
      </w:r>
      <w:proofErr w:type="spellEnd"/>
      <w:r w:rsidRPr="00476C75">
        <w:rPr>
          <w:rFonts w:cstheme="minorHAnsi"/>
        </w:rPr>
        <w:t xml:space="preserve"> Gel was left to private sector for reinvestment. Reform increases access to financial recourses for the private sector, </w:t>
      </w:r>
      <w:r w:rsidR="005702F8" w:rsidRPr="00476C75">
        <w:rPr>
          <w:rFonts w:cstheme="minorHAnsi"/>
        </w:rPr>
        <w:t xml:space="preserve">thus boosting economic growth. </w:t>
      </w:r>
    </w:p>
    <w:p w:rsidR="003E7EEF" w:rsidRDefault="003E7EEF" w:rsidP="00476C75">
      <w:pPr>
        <w:jc w:val="both"/>
        <w:rPr>
          <w:rFonts w:cstheme="minorHAnsi"/>
        </w:rPr>
      </w:pPr>
      <w:r w:rsidRPr="00476C75">
        <w:rPr>
          <w:rFonts w:cstheme="minorHAnsi"/>
        </w:rPr>
        <w:t>The profit tax reform also enhances FDI inflow in the country, as well increases investment attractiveness of the country. Positive trends in foreign direct investments are clear indicator of business and investment climate improvement.</w:t>
      </w:r>
    </w:p>
    <w:p w:rsidR="003E7EEF" w:rsidRPr="00476C75" w:rsidRDefault="003E7EEF" w:rsidP="00476C75">
      <w:pPr>
        <w:jc w:val="both"/>
        <w:rPr>
          <w:rFonts w:cstheme="minorHAnsi"/>
        </w:rPr>
      </w:pPr>
      <w:r w:rsidRPr="00476C75">
        <w:rPr>
          <w:rFonts w:cstheme="minorHAnsi"/>
        </w:rPr>
        <w:t>In 2017, foreign direct investments reached record high - amounting 1.</w:t>
      </w:r>
      <w:r w:rsidR="00666CC0">
        <w:rPr>
          <w:rFonts w:cstheme="minorHAnsi"/>
        </w:rPr>
        <w:t>861.9</w:t>
      </w:r>
      <w:r w:rsidRPr="00476C75">
        <w:rPr>
          <w:rFonts w:cstheme="minorHAnsi"/>
        </w:rPr>
        <w:t xml:space="preserve"> </w:t>
      </w:r>
      <w:proofErr w:type="spellStart"/>
      <w:r w:rsidRPr="00476C75">
        <w:rPr>
          <w:rFonts w:cstheme="minorHAnsi"/>
        </w:rPr>
        <w:t>mln</w:t>
      </w:r>
      <w:proofErr w:type="spellEnd"/>
      <w:r w:rsidRPr="00476C75">
        <w:rPr>
          <w:rFonts w:cstheme="minorHAnsi"/>
        </w:rPr>
        <w:t xml:space="preserve"> USD</w:t>
      </w:r>
      <w:r w:rsidR="001002A4">
        <w:rPr>
          <w:rFonts w:cstheme="minorHAnsi"/>
        </w:rPr>
        <w:t xml:space="preserve"> and increased by 16.2 percent</w:t>
      </w:r>
      <w:r w:rsidRPr="00476C75">
        <w:rPr>
          <w:rFonts w:cstheme="minorHAnsi"/>
        </w:rPr>
        <w:t>. Increase of reinvestment clearly indicates on investor confidence growth and positive expectations towards country’s business environment. As well, profit tax reform supported growth of reinvestment from foreign investors</w:t>
      </w:r>
      <w:r w:rsidR="00F3115E" w:rsidRPr="00476C75">
        <w:rPr>
          <w:rFonts w:cstheme="minorHAnsi"/>
        </w:rPr>
        <w:t>. A</w:t>
      </w:r>
      <w:r w:rsidRPr="00476C75">
        <w:rPr>
          <w:rFonts w:cstheme="minorHAnsi"/>
        </w:rPr>
        <w:t>s a result</w:t>
      </w:r>
      <w:r w:rsidR="00F3115E" w:rsidRPr="00476C75">
        <w:rPr>
          <w:rFonts w:cstheme="minorHAnsi"/>
        </w:rPr>
        <w:t>,</w:t>
      </w:r>
      <w:r w:rsidRPr="00476C75">
        <w:rPr>
          <w:rFonts w:cstheme="minorHAnsi"/>
        </w:rPr>
        <w:t xml:space="preserve"> in 2017 reinvestment </w:t>
      </w:r>
      <w:r w:rsidR="00F3115E" w:rsidRPr="00476C75">
        <w:rPr>
          <w:rFonts w:cstheme="minorHAnsi"/>
        </w:rPr>
        <w:t xml:space="preserve">increased </w:t>
      </w:r>
      <w:r w:rsidRPr="00476C75">
        <w:rPr>
          <w:rFonts w:cstheme="minorHAnsi"/>
        </w:rPr>
        <w:t xml:space="preserve">by </w:t>
      </w:r>
      <w:r w:rsidR="00F83BB6">
        <w:rPr>
          <w:rFonts w:cstheme="minorHAnsi"/>
        </w:rPr>
        <w:t>129.6</w:t>
      </w:r>
      <w:r w:rsidRPr="00476C75">
        <w:rPr>
          <w:rFonts w:cstheme="minorHAnsi"/>
        </w:rPr>
        <w:t>% (</w:t>
      </w:r>
      <w:r w:rsidR="00F83BB6">
        <w:rPr>
          <w:rFonts w:cstheme="minorHAnsi"/>
        </w:rPr>
        <w:t>401.9</w:t>
      </w:r>
      <w:r w:rsidRPr="00476C75">
        <w:rPr>
          <w:rFonts w:cstheme="minorHAnsi"/>
        </w:rPr>
        <w:t xml:space="preserve"> million USD) and amounted </w:t>
      </w:r>
      <w:r w:rsidR="00F83BB6">
        <w:rPr>
          <w:rFonts w:cstheme="minorHAnsi"/>
        </w:rPr>
        <w:t>712.1</w:t>
      </w:r>
      <w:r w:rsidRPr="00476C75">
        <w:rPr>
          <w:rFonts w:cstheme="minorHAnsi"/>
        </w:rPr>
        <w:t xml:space="preserve"> </w:t>
      </w:r>
      <w:proofErr w:type="spellStart"/>
      <w:r w:rsidRPr="00476C75">
        <w:rPr>
          <w:rFonts w:cstheme="minorHAnsi"/>
        </w:rPr>
        <w:t>mln</w:t>
      </w:r>
      <w:proofErr w:type="spellEnd"/>
      <w:r w:rsidRPr="00476C75">
        <w:rPr>
          <w:rFonts w:cstheme="minorHAnsi"/>
        </w:rPr>
        <w:t xml:space="preserve"> USD. </w:t>
      </w:r>
    </w:p>
    <w:p w:rsidR="003E7EEF" w:rsidRPr="00476C75" w:rsidRDefault="003E7EEF" w:rsidP="003E7EEF">
      <w:pPr>
        <w:jc w:val="both"/>
        <w:rPr>
          <w:rFonts w:cstheme="minorHAnsi"/>
        </w:rPr>
      </w:pPr>
      <w:r w:rsidRPr="00476C75">
        <w:rPr>
          <w:rFonts w:cstheme="minorHAnsi"/>
        </w:rPr>
        <w:t xml:space="preserve">Improvement of CA deficit, increase of national savings and reduce the gap between the savings and investments represents one of the main challenges of our economy. </w:t>
      </w:r>
    </w:p>
    <w:p w:rsidR="003E7EEF" w:rsidRPr="00476C75" w:rsidRDefault="003E7EEF" w:rsidP="003E7EEF">
      <w:pPr>
        <w:jc w:val="both"/>
        <w:rPr>
          <w:rFonts w:cstheme="minorHAnsi"/>
        </w:rPr>
      </w:pPr>
      <w:r w:rsidRPr="00476C75">
        <w:rPr>
          <w:rFonts w:cstheme="minorHAnsi"/>
        </w:rPr>
        <w:t xml:space="preserve">Moreover, corporate tax reform will stimulate private savings and as a result, in upcoming years, difference between the savings and investments will have decreasing trend.  </w:t>
      </w:r>
    </w:p>
    <w:p w:rsidR="003E7EEF" w:rsidRPr="00476C75" w:rsidRDefault="003E7EEF" w:rsidP="003E7EEF">
      <w:pPr>
        <w:jc w:val="both"/>
        <w:rPr>
          <w:rFonts w:cstheme="minorHAnsi"/>
        </w:rPr>
      </w:pPr>
      <w:r w:rsidRPr="00476C75">
        <w:rPr>
          <w:rFonts w:cstheme="minorHAnsi"/>
        </w:rPr>
        <w:t xml:space="preserve">It should be mentioned that in 2017 national savings has significantly increased and decreased external financing needs. Improvement in </w:t>
      </w:r>
      <w:r w:rsidR="005E1002">
        <w:rPr>
          <w:rFonts w:cstheme="minorHAnsi"/>
        </w:rPr>
        <w:t>2017</w:t>
      </w:r>
      <w:r w:rsidRPr="00476C75">
        <w:rPr>
          <w:rFonts w:cstheme="minorHAnsi"/>
        </w:rPr>
        <w:t xml:space="preserve"> was </w:t>
      </w:r>
      <w:r w:rsidR="00D659F9">
        <w:rPr>
          <w:rFonts w:cstheme="minorHAnsi"/>
        </w:rPr>
        <w:t>3.3</w:t>
      </w:r>
      <w:r w:rsidRPr="00476C75">
        <w:rPr>
          <w:rFonts w:cstheme="minorHAnsi"/>
        </w:rPr>
        <w:t xml:space="preserve"> pp and national savings equaled to 2</w:t>
      </w:r>
      <w:r w:rsidR="00D659F9">
        <w:rPr>
          <w:rFonts w:cstheme="minorHAnsi"/>
        </w:rPr>
        <w:t>3.2</w:t>
      </w:r>
      <w:r w:rsidRPr="00476C75">
        <w:rPr>
          <w:rFonts w:cstheme="minorHAnsi"/>
        </w:rPr>
        <w:t xml:space="preserve">% of GDP. As a result, difference between savings and investments decreased by 4.1 pp and the gap amounted </w:t>
      </w:r>
      <w:r w:rsidR="00D659F9">
        <w:rPr>
          <w:rFonts w:cstheme="minorHAnsi"/>
        </w:rPr>
        <w:t>8.7</w:t>
      </w:r>
      <w:r w:rsidRPr="00476C75">
        <w:rPr>
          <w:rFonts w:cstheme="minorHAnsi"/>
        </w:rPr>
        <w:t xml:space="preserve">%. </w:t>
      </w:r>
    </w:p>
    <w:p w:rsidR="003E7EEF" w:rsidRPr="00476C75" w:rsidRDefault="003E7EEF" w:rsidP="003E7EEF">
      <w:pPr>
        <w:jc w:val="both"/>
        <w:rPr>
          <w:rFonts w:cstheme="minorHAnsi"/>
        </w:rPr>
      </w:pPr>
      <w:r w:rsidRPr="00476C75">
        <w:rPr>
          <w:rFonts w:cstheme="minorHAnsi"/>
        </w:rPr>
        <w:t xml:space="preserve">Government’s economic policy aims to increase national savings. As mentioned, our fiscal policy, which implies fiscal consolidation through reducing current expenditures, is oriented to increase government savings and at the same time, corporate tax reform stimulates private savings. Increasing the level of savings has a strong positive impact on GDP growth and improvement of structure of the economy. </w:t>
      </w:r>
    </w:p>
    <w:p w:rsidR="003E7EEF" w:rsidRPr="00476C75" w:rsidRDefault="003E7EEF" w:rsidP="003E7EEF">
      <w:pPr>
        <w:jc w:val="both"/>
        <w:rPr>
          <w:rFonts w:cstheme="minorHAnsi"/>
        </w:rPr>
      </w:pPr>
      <w:r w:rsidRPr="00476C75">
        <w:rPr>
          <w:rFonts w:cstheme="minorHAnsi"/>
        </w:rPr>
        <w:t>In parallel with increasing attractiveness of business and investment environment</w:t>
      </w:r>
      <w:r w:rsidR="006F0BC6" w:rsidRPr="00476C75">
        <w:rPr>
          <w:rFonts w:cstheme="minorHAnsi"/>
        </w:rPr>
        <w:t xml:space="preserve"> and structural improvement of the economy</w:t>
      </w:r>
      <w:r w:rsidRPr="00476C75">
        <w:rPr>
          <w:rFonts w:cstheme="minorHAnsi"/>
        </w:rPr>
        <w:t>, GOG is working</w:t>
      </w:r>
      <w:r w:rsidR="0050398D" w:rsidRPr="00476C75">
        <w:rPr>
          <w:rFonts w:cstheme="minorHAnsi"/>
        </w:rPr>
        <w:t xml:space="preserve"> </w:t>
      </w:r>
      <w:proofErr w:type="gramStart"/>
      <w:r w:rsidR="0050398D" w:rsidRPr="00476C75">
        <w:rPr>
          <w:rFonts w:cstheme="minorHAnsi"/>
        </w:rPr>
        <w:t xml:space="preserve">on </w:t>
      </w:r>
      <w:r w:rsidRPr="00476C75">
        <w:rPr>
          <w:rFonts w:cstheme="minorHAnsi"/>
        </w:rPr>
        <w:t xml:space="preserve"> decreasing</w:t>
      </w:r>
      <w:proofErr w:type="gramEnd"/>
      <w:r w:rsidRPr="00476C75">
        <w:rPr>
          <w:rFonts w:cstheme="minorHAnsi"/>
        </w:rPr>
        <w:t xml:space="preserve"> </w:t>
      </w:r>
      <w:r w:rsidR="00030F5E">
        <w:rPr>
          <w:rFonts w:cstheme="minorHAnsi"/>
        </w:rPr>
        <w:t xml:space="preserve">of </w:t>
      </w:r>
      <w:r w:rsidRPr="00476C75">
        <w:rPr>
          <w:rFonts w:cstheme="minorHAnsi"/>
        </w:rPr>
        <w:t xml:space="preserve">external vulnerability. </w:t>
      </w:r>
    </w:p>
    <w:p w:rsidR="003E7EEF" w:rsidRPr="00476C75" w:rsidRDefault="003E7EEF" w:rsidP="003E7EEF">
      <w:pPr>
        <w:jc w:val="both"/>
        <w:rPr>
          <w:rFonts w:cstheme="minorHAnsi"/>
        </w:rPr>
      </w:pPr>
      <w:r w:rsidRPr="00476C75">
        <w:rPr>
          <w:rFonts w:cstheme="minorHAnsi"/>
        </w:rPr>
        <w:t xml:space="preserve">In this regard, </w:t>
      </w:r>
      <w:proofErr w:type="spellStart"/>
      <w:r w:rsidRPr="00476C75">
        <w:rPr>
          <w:rFonts w:cstheme="minorHAnsi"/>
        </w:rPr>
        <w:t>Larization</w:t>
      </w:r>
      <w:proofErr w:type="spellEnd"/>
      <w:r w:rsidRPr="00476C75">
        <w:rPr>
          <w:rFonts w:cstheme="minorHAnsi"/>
        </w:rPr>
        <w:t xml:space="preserve"> reform which government implements in cooperation with national bank of Georgia is one of important steps forward. Decreasing dollarization is important to implement countercyclical macroeconomic policy, which leads to long term economic growth. </w:t>
      </w:r>
    </w:p>
    <w:p w:rsidR="003E7EEF" w:rsidRPr="00476C75" w:rsidRDefault="003E7EEF" w:rsidP="003E7EEF">
      <w:pPr>
        <w:jc w:val="both"/>
        <w:rPr>
          <w:rFonts w:cstheme="minorHAnsi"/>
        </w:rPr>
      </w:pPr>
      <w:r w:rsidRPr="00476C75">
        <w:rPr>
          <w:rFonts w:cstheme="minorHAnsi"/>
        </w:rPr>
        <w:t xml:space="preserve">Dollarization represents quite long process, however first positive tangible results are in place. From the beginning of 2017, decreasing trend of dollarization was observed. At the end of </w:t>
      </w:r>
      <w:r w:rsidR="00F6144D">
        <w:rPr>
          <w:rFonts w:cstheme="minorHAnsi"/>
        </w:rPr>
        <w:t>February 2018</w:t>
      </w:r>
      <w:r w:rsidR="00F6144D" w:rsidRPr="00476C75">
        <w:rPr>
          <w:rFonts w:cstheme="minorHAnsi"/>
        </w:rPr>
        <w:t xml:space="preserve"> </w:t>
      </w:r>
      <w:r w:rsidRPr="00476C75">
        <w:rPr>
          <w:rFonts w:cstheme="minorHAnsi"/>
        </w:rPr>
        <w:t xml:space="preserve">deposit </w:t>
      </w:r>
      <w:proofErr w:type="spellStart"/>
      <w:r w:rsidRPr="00476C75">
        <w:rPr>
          <w:rFonts w:cstheme="minorHAnsi"/>
        </w:rPr>
        <w:t>larization</w:t>
      </w:r>
      <w:proofErr w:type="spellEnd"/>
      <w:r w:rsidRPr="00476C75">
        <w:rPr>
          <w:rFonts w:cstheme="minorHAnsi"/>
        </w:rPr>
        <w:t xml:space="preserve"> increased from 2</w:t>
      </w:r>
      <w:r w:rsidR="00DB145E">
        <w:rPr>
          <w:rFonts w:cstheme="minorHAnsi"/>
        </w:rPr>
        <w:t>8.2</w:t>
      </w:r>
      <w:r w:rsidRPr="00476C75">
        <w:rPr>
          <w:rFonts w:cstheme="minorHAnsi"/>
        </w:rPr>
        <w:t>% to 3</w:t>
      </w:r>
      <w:r w:rsidR="00DB145E">
        <w:rPr>
          <w:rFonts w:cstheme="minorHAnsi"/>
        </w:rPr>
        <w:t>6.2</w:t>
      </w:r>
      <w:r w:rsidRPr="00476C75">
        <w:rPr>
          <w:rFonts w:cstheme="minorHAnsi"/>
        </w:rPr>
        <w:t>% (dollarization decreased from 71</w:t>
      </w:r>
      <w:r w:rsidR="00DB145E">
        <w:rPr>
          <w:rFonts w:cstheme="minorHAnsi"/>
        </w:rPr>
        <w:t>.4</w:t>
      </w:r>
      <w:r w:rsidRPr="00476C75">
        <w:rPr>
          <w:rFonts w:cstheme="minorHAnsi"/>
        </w:rPr>
        <w:t>% to 6</w:t>
      </w:r>
      <w:r w:rsidR="00DB145E">
        <w:rPr>
          <w:rFonts w:cstheme="minorHAnsi"/>
        </w:rPr>
        <w:t>3</w:t>
      </w:r>
      <w:r w:rsidRPr="00476C75">
        <w:rPr>
          <w:rFonts w:cstheme="minorHAnsi"/>
        </w:rPr>
        <w:t>.</w:t>
      </w:r>
      <w:r w:rsidR="00DB145E">
        <w:rPr>
          <w:rFonts w:cstheme="minorHAnsi"/>
        </w:rPr>
        <w:t>8</w:t>
      </w:r>
      <w:r w:rsidRPr="00476C75">
        <w:rPr>
          <w:rFonts w:cstheme="minorHAnsi"/>
        </w:rPr>
        <w:t xml:space="preserve">%), loan </w:t>
      </w:r>
      <w:proofErr w:type="spellStart"/>
      <w:r w:rsidRPr="00476C75">
        <w:rPr>
          <w:rFonts w:cstheme="minorHAnsi"/>
        </w:rPr>
        <w:t>larization</w:t>
      </w:r>
      <w:proofErr w:type="spellEnd"/>
      <w:r w:rsidRPr="00476C75">
        <w:rPr>
          <w:rFonts w:cstheme="minorHAnsi"/>
        </w:rPr>
        <w:t xml:space="preserve"> increased from 3</w:t>
      </w:r>
      <w:r w:rsidR="000F6F55">
        <w:rPr>
          <w:rFonts w:cstheme="minorHAnsi"/>
        </w:rPr>
        <w:t>4</w:t>
      </w:r>
      <w:r w:rsidRPr="00476C75">
        <w:rPr>
          <w:rFonts w:cstheme="minorHAnsi"/>
        </w:rPr>
        <w:t>.</w:t>
      </w:r>
      <w:r w:rsidR="000F6F55">
        <w:rPr>
          <w:rFonts w:cstheme="minorHAnsi"/>
        </w:rPr>
        <w:t>8</w:t>
      </w:r>
      <w:r w:rsidRPr="00476C75">
        <w:rPr>
          <w:rFonts w:cstheme="minorHAnsi"/>
        </w:rPr>
        <w:t>% to 4</w:t>
      </w:r>
      <w:r w:rsidR="000F6F55">
        <w:rPr>
          <w:rFonts w:cstheme="minorHAnsi"/>
        </w:rPr>
        <w:t>4</w:t>
      </w:r>
      <w:r w:rsidRPr="00476C75">
        <w:rPr>
          <w:rFonts w:cstheme="minorHAnsi"/>
        </w:rPr>
        <w:t>.</w:t>
      </w:r>
      <w:r w:rsidR="000F6F55">
        <w:rPr>
          <w:rFonts w:cstheme="minorHAnsi"/>
        </w:rPr>
        <w:t>4</w:t>
      </w:r>
      <w:r w:rsidRPr="00476C75">
        <w:rPr>
          <w:rFonts w:cstheme="minorHAnsi"/>
        </w:rPr>
        <w:t>% (dollarization decreased from to 6</w:t>
      </w:r>
      <w:r w:rsidR="00FD1D2B">
        <w:rPr>
          <w:rFonts w:cstheme="minorHAnsi"/>
        </w:rPr>
        <w:t>5</w:t>
      </w:r>
      <w:r w:rsidRPr="00476C75">
        <w:rPr>
          <w:rFonts w:cstheme="minorHAnsi"/>
        </w:rPr>
        <w:t>.</w:t>
      </w:r>
      <w:r w:rsidR="00FD1D2B">
        <w:rPr>
          <w:rFonts w:cstheme="minorHAnsi"/>
        </w:rPr>
        <w:t>2</w:t>
      </w:r>
      <w:r w:rsidRPr="00476C75">
        <w:rPr>
          <w:rFonts w:cstheme="minorHAnsi"/>
        </w:rPr>
        <w:t>% to 5</w:t>
      </w:r>
      <w:r w:rsidR="000A2FCA">
        <w:rPr>
          <w:rFonts w:cstheme="minorHAnsi"/>
        </w:rPr>
        <w:t>5</w:t>
      </w:r>
      <w:r w:rsidRPr="00476C75">
        <w:rPr>
          <w:rFonts w:cstheme="minorHAnsi"/>
        </w:rPr>
        <w:t>.</w:t>
      </w:r>
      <w:r w:rsidR="000A2FCA">
        <w:rPr>
          <w:rFonts w:cstheme="minorHAnsi"/>
        </w:rPr>
        <w:t>6</w:t>
      </w:r>
      <w:r w:rsidRPr="00476C75">
        <w:rPr>
          <w:rFonts w:cstheme="minorHAnsi"/>
        </w:rPr>
        <w:t xml:space="preserve">%). Substantial improvement was observed in terms of loans to physical persons and </w:t>
      </w:r>
      <w:proofErr w:type="spellStart"/>
      <w:r w:rsidRPr="00476C75">
        <w:rPr>
          <w:rFonts w:cstheme="minorHAnsi"/>
        </w:rPr>
        <w:t>lariazation</w:t>
      </w:r>
      <w:proofErr w:type="spellEnd"/>
      <w:r w:rsidRPr="00476C75">
        <w:rPr>
          <w:rFonts w:cstheme="minorHAnsi"/>
        </w:rPr>
        <w:t xml:space="preserve"> rate increased from 42% to 54.1% (dollarization decreased from 58% to 45.9%). </w:t>
      </w:r>
    </w:p>
    <w:p w:rsidR="003E7EEF" w:rsidRPr="00476C75" w:rsidRDefault="003E7EEF" w:rsidP="003E7EEF">
      <w:pPr>
        <w:jc w:val="both"/>
        <w:rPr>
          <w:rFonts w:cstheme="minorHAnsi"/>
        </w:rPr>
      </w:pPr>
      <w:proofErr w:type="spellStart"/>
      <w:r w:rsidRPr="00476C75">
        <w:rPr>
          <w:rFonts w:cstheme="minorHAnsi"/>
        </w:rPr>
        <w:t>Larization</w:t>
      </w:r>
      <w:proofErr w:type="spellEnd"/>
      <w:r w:rsidRPr="00476C75">
        <w:rPr>
          <w:rFonts w:cstheme="minorHAnsi"/>
        </w:rPr>
        <w:t xml:space="preserve"> reform with other strategic policy decisions will decrease external vulnerability, encourage national savings and in accordance with capital market development, ensure efficient investment allocation. </w:t>
      </w:r>
    </w:p>
    <w:p w:rsidR="00272B85" w:rsidRPr="00476C75" w:rsidRDefault="00745973" w:rsidP="00077DE8">
      <w:pPr>
        <w:jc w:val="both"/>
        <w:rPr>
          <w:rFonts w:cstheme="minorHAnsi"/>
        </w:rPr>
      </w:pPr>
      <w:r w:rsidRPr="00476C75">
        <w:rPr>
          <w:rFonts w:cstheme="minorHAnsi"/>
        </w:rPr>
        <w:lastRenderedPageBreak/>
        <w:t>In line</w:t>
      </w:r>
      <w:r w:rsidR="00077DE8" w:rsidRPr="00476C75">
        <w:rPr>
          <w:rFonts w:cstheme="minorHAnsi"/>
        </w:rPr>
        <w:t xml:space="preserve"> with fiscal measures and </w:t>
      </w:r>
      <w:r w:rsidRPr="00476C75">
        <w:rPr>
          <w:rFonts w:cstheme="minorHAnsi"/>
        </w:rPr>
        <w:t>policy decisions</w:t>
      </w:r>
      <w:r w:rsidR="00077DE8" w:rsidRPr="00476C75">
        <w:rPr>
          <w:rFonts w:cstheme="minorHAnsi"/>
        </w:rPr>
        <w:t xml:space="preserve">, </w:t>
      </w:r>
      <w:r w:rsidR="00272B85" w:rsidRPr="00476C75">
        <w:rPr>
          <w:rFonts w:cstheme="minorHAnsi"/>
        </w:rPr>
        <w:t>monetary policy stance is appropriate</w:t>
      </w:r>
      <w:r w:rsidR="00077DE8" w:rsidRPr="00476C75">
        <w:rPr>
          <w:rFonts w:cstheme="minorHAnsi"/>
        </w:rPr>
        <w:t>.  The inflation targeting framework, combined with the floating exchange rate regime, has served Georgia well.</w:t>
      </w:r>
    </w:p>
    <w:p w:rsidR="004B6AF7" w:rsidRDefault="00FC7765" w:rsidP="004B6AF7">
      <w:pPr>
        <w:jc w:val="both"/>
        <w:rPr>
          <w:rFonts w:cstheme="minorHAnsi"/>
        </w:rPr>
      </w:pPr>
      <w:r>
        <w:rPr>
          <w:rFonts w:cstheme="minorHAnsi"/>
        </w:rPr>
        <w:t xml:space="preserve">In line with recent ongoing and planed reforms, </w:t>
      </w:r>
      <w:r w:rsidR="00D61335" w:rsidRPr="00D61335">
        <w:rPr>
          <w:rFonts w:cstheme="minorHAnsi"/>
        </w:rPr>
        <w:t xml:space="preserve">positive evaluations of international financial institutions and credit rating agencies towards Georgia’s economic performance increase the </w:t>
      </w:r>
      <w:proofErr w:type="spellStart"/>
      <w:r w:rsidR="00D61335" w:rsidRPr="00D61335">
        <w:rPr>
          <w:rFonts w:cstheme="minorHAnsi"/>
        </w:rPr>
        <w:t>investors</w:t>
      </w:r>
      <w:proofErr w:type="spellEnd"/>
      <w:r w:rsidR="00D61335" w:rsidRPr="00D61335">
        <w:rPr>
          <w:rFonts w:cstheme="minorHAnsi"/>
        </w:rPr>
        <w:t xml:space="preserve"> confidence. In March 2018 credit rating agency „Fitch</w:t>
      </w:r>
      <w:proofErr w:type="gramStart"/>
      <w:r w:rsidR="00D61335" w:rsidRPr="00D61335">
        <w:rPr>
          <w:rFonts w:cstheme="minorHAnsi"/>
        </w:rPr>
        <w:t>“ revised</w:t>
      </w:r>
      <w:proofErr w:type="gramEnd"/>
      <w:r w:rsidR="00D61335" w:rsidRPr="00D61335">
        <w:rPr>
          <w:rFonts w:cstheme="minorHAnsi"/>
        </w:rPr>
        <w:t xml:space="preserve"> Georgia’s credit outlook from stable to positive. Positive outlook is driven by macroeconomic stability, resilience towards external shocks and factorable business environment. </w:t>
      </w:r>
    </w:p>
    <w:p w:rsidR="00DA0D7C" w:rsidRDefault="00DA0D7C" w:rsidP="004B6AF7">
      <w:pPr>
        <w:jc w:val="both"/>
        <w:rPr>
          <w:rFonts w:cstheme="minorHAnsi"/>
        </w:rPr>
      </w:pPr>
    </w:p>
    <w:p w:rsidR="00DA0D7C" w:rsidRPr="00DA0D7C" w:rsidRDefault="00DA0D7C" w:rsidP="00DA0D7C">
      <w:pPr>
        <w:jc w:val="both"/>
        <w:rPr>
          <w:rFonts w:cstheme="minorHAnsi"/>
        </w:rPr>
      </w:pPr>
      <w:proofErr w:type="spellStart"/>
      <w:r>
        <w:rPr>
          <w:rFonts w:cstheme="minorHAnsi"/>
          <w:b/>
        </w:rPr>
        <w:t>Labour</w:t>
      </w:r>
      <w:proofErr w:type="spellEnd"/>
      <w:r>
        <w:rPr>
          <w:rFonts w:cstheme="minorHAnsi"/>
          <w:b/>
        </w:rPr>
        <w:t xml:space="preserve"> reform- f</w:t>
      </w:r>
      <w:r w:rsidRPr="00DA0D7C">
        <w:rPr>
          <w:rFonts w:cstheme="minorHAnsi"/>
        </w:rPr>
        <w:t xml:space="preserve">or the last years, Georgia has undergone deep changes in its labour legislation and institutions The 2006 Labour Code was based on the assumption that deregulation of the labour market would attract investment and create jobs even at the price of not complying with International Labour Organization (ILO) Fundamental Conventions ratified by Georgia. It is only with the arrival of a new Government late 2012 that Georgian authorities started to take the necessary steps to amend the labour legislation in compliance with International Labour Standards (ILS). </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 The amendments to the </w:t>
      </w:r>
      <w:proofErr w:type="spellStart"/>
      <w:r w:rsidRPr="00DA0D7C">
        <w:rPr>
          <w:rFonts w:cstheme="minorHAnsi"/>
        </w:rPr>
        <w:t>Labour</w:t>
      </w:r>
      <w:proofErr w:type="spellEnd"/>
      <w:r w:rsidRPr="00DA0D7C">
        <w:rPr>
          <w:rFonts w:cstheme="minorHAnsi"/>
        </w:rPr>
        <w:t xml:space="preserve"> Code address previous shortcomings related to workers’ rights and guarantees, such as the freedom of association, anti-union discrimination, collective agreements and bargaining, child </w:t>
      </w:r>
      <w:proofErr w:type="spellStart"/>
      <w:r w:rsidRPr="00DA0D7C">
        <w:rPr>
          <w:rFonts w:cstheme="minorHAnsi"/>
        </w:rPr>
        <w:t>labour</w:t>
      </w:r>
      <w:proofErr w:type="spellEnd"/>
      <w:r w:rsidRPr="00DA0D7C">
        <w:rPr>
          <w:rFonts w:cstheme="minorHAnsi"/>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proofErr w:type="spellStart"/>
      <w:r w:rsidRPr="00DA0D7C">
        <w:rPr>
          <w:rFonts w:cstheme="minorHAnsi"/>
        </w:rPr>
        <w:t>Labour</w:t>
      </w:r>
      <w:proofErr w:type="spellEnd"/>
      <w:r w:rsidRPr="00DA0D7C">
        <w:rPr>
          <w:rFonts w:cstheme="minorHAnsi"/>
        </w:rPr>
        <w:t xml:space="preserve"> </w:t>
      </w:r>
      <w:proofErr w:type="spellStart"/>
      <w:r w:rsidRPr="00DA0D7C">
        <w:rPr>
          <w:rFonts w:cstheme="minorHAnsi"/>
        </w:rPr>
        <w:t>Organisation</w:t>
      </w:r>
      <w:proofErr w:type="spellEnd"/>
      <w:r w:rsidRPr="00DA0D7C">
        <w:rPr>
          <w:rFonts w:cstheme="minorHAnsi"/>
        </w:rPr>
        <w:t xml:space="preserve"> (ILO), EU, U.S. Department of </w:t>
      </w:r>
      <w:proofErr w:type="spellStart"/>
      <w:r w:rsidRPr="00DA0D7C">
        <w:rPr>
          <w:rFonts w:cstheme="minorHAnsi"/>
        </w:rPr>
        <w:t>Labour</w:t>
      </w:r>
      <w:proofErr w:type="spellEnd"/>
      <w:r w:rsidRPr="00DA0D7C">
        <w:rPr>
          <w:rFonts w:cstheme="minorHAnsi"/>
        </w:rPr>
        <w:t xml:space="preserve"> (USDOL) and other key players</w:t>
      </w:r>
      <w:proofErr w:type="gramStart"/>
      <w:r w:rsidRPr="00DA0D7C">
        <w:rPr>
          <w:rFonts w:cstheme="minorHAnsi"/>
        </w:rPr>
        <w:t>.</w:t>
      </w:r>
      <w:r w:rsidRPr="00DA0D7C">
        <w:rPr>
          <w:rFonts w:cstheme="minorHAnsi"/>
        </w:rPr>
        <w:footnoteReference w:customMarkFollows="1" w:id="1"/>
        <w:t>[</w:t>
      </w:r>
      <w:proofErr w:type="gramEnd"/>
      <w:r w:rsidRPr="00DA0D7C">
        <w:rPr>
          <w:rFonts w:cstheme="minorHAnsi"/>
        </w:rPr>
        <w:t xml:space="preserve">1] The reforms have been repeatedly praised by the former EU Commissioner for Enlargement and European </w:t>
      </w:r>
      <w:proofErr w:type="spellStart"/>
      <w:r w:rsidRPr="00DA0D7C">
        <w:rPr>
          <w:rFonts w:cstheme="minorHAnsi"/>
        </w:rPr>
        <w:t>Neighbourhood</w:t>
      </w:r>
      <w:proofErr w:type="spellEnd"/>
      <w:r w:rsidRPr="00DA0D7C">
        <w:rPr>
          <w:rFonts w:cstheme="minorHAnsi"/>
        </w:rPr>
        <w:t xml:space="preserve"> Policy </w:t>
      </w:r>
      <w:proofErr w:type="spellStart"/>
      <w:r w:rsidRPr="00DA0D7C">
        <w:rPr>
          <w:rFonts w:cstheme="minorHAnsi"/>
        </w:rPr>
        <w:t>Štefan</w:t>
      </w:r>
      <w:proofErr w:type="spellEnd"/>
      <w:r w:rsidRPr="00DA0D7C">
        <w:rPr>
          <w:rFonts w:cstheme="minorHAnsi"/>
        </w:rPr>
        <w:t xml:space="preserve"> </w:t>
      </w:r>
      <w:proofErr w:type="spellStart"/>
      <w:r w:rsidRPr="00DA0D7C">
        <w:rPr>
          <w:rFonts w:cstheme="minorHAnsi"/>
        </w:rPr>
        <w:t>Füle</w:t>
      </w:r>
      <w:proofErr w:type="spellEnd"/>
      <w:r w:rsidRPr="00DA0D7C">
        <w:rPr>
          <w:rFonts w:cstheme="minorHAnsi"/>
        </w:rPr>
        <w:t>.</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In 2014, “</w:t>
      </w:r>
      <w:proofErr w:type="spellStart"/>
      <w:r w:rsidRPr="00DA0D7C">
        <w:rPr>
          <w:rFonts w:cstheme="minorHAnsi"/>
        </w:rPr>
        <w:t>Labour</w:t>
      </w:r>
      <w:proofErr w:type="spellEnd"/>
      <w:r w:rsidRPr="00DA0D7C">
        <w:rPr>
          <w:rFonts w:cstheme="minorHAnsi"/>
        </w:rPr>
        <w:t xml:space="preserve"> Market Formation State Strategy and Action Plan for 2015-18” was approved. The strategy defines the following goals: Improvement of legal framework in the field of </w:t>
      </w:r>
      <w:proofErr w:type="spellStart"/>
      <w:r w:rsidRPr="00DA0D7C">
        <w:rPr>
          <w:rFonts w:cstheme="minorHAnsi"/>
        </w:rPr>
        <w:t>labour</w:t>
      </w:r>
      <w:proofErr w:type="spellEnd"/>
      <w:r w:rsidRPr="00DA0D7C">
        <w:rPr>
          <w:rFonts w:cstheme="minorHAnsi"/>
        </w:rPr>
        <w:t xml:space="preserve"> and employment; support of effective employment; ensuring protection of </w:t>
      </w:r>
      <w:proofErr w:type="spellStart"/>
      <w:r w:rsidRPr="00DA0D7C">
        <w:rPr>
          <w:rFonts w:cstheme="minorHAnsi"/>
        </w:rPr>
        <w:t>labour</w:t>
      </w:r>
      <w:proofErr w:type="spellEnd"/>
      <w:r w:rsidRPr="00DA0D7C">
        <w:rPr>
          <w:rFonts w:cstheme="minorHAnsi"/>
        </w:rPr>
        <w:t xml:space="preserve"> rights and decent working conditions; development of workforce skills.    </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In 2014, the Government of Georgia approved a concept paper and an action plan for the establishment and development of the </w:t>
      </w:r>
      <w:proofErr w:type="spellStart"/>
      <w:r w:rsidRPr="00DA0D7C">
        <w:rPr>
          <w:rFonts w:cstheme="minorHAnsi"/>
        </w:rPr>
        <w:t>Labour</w:t>
      </w:r>
      <w:proofErr w:type="spellEnd"/>
      <w:r w:rsidRPr="00DA0D7C">
        <w:rPr>
          <w:rFonts w:cstheme="minorHAnsi"/>
        </w:rPr>
        <w:t xml:space="preserve"> Market Information System. The system would enable people to access information on demanded professions, employment opportunities and potential new openings, growing economic sectors. LMIS web-portal is already operational. This would help people to choose professions that are in high demand, foreseeing employment prospects.  Function of </w:t>
      </w:r>
      <w:proofErr w:type="spellStart"/>
      <w:r w:rsidRPr="00DA0D7C">
        <w:rPr>
          <w:rFonts w:cstheme="minorHAnsi"/>
        </w:rPr>
        <w:t>Labour</w:t>
      </w:r>
      <w:proofErr w:type="spellEnd"/>
      <w:r w:rsidRPr="00DA0D7C">
        <w:rPr>
          <w:rFonts w:cstheme="minorHAnsi"/>
        </w:rPr>
        <w:t xml:space="preserve"> market research and analysis has been moved to the Ministry of Economy and sustainable development and respectively the </w:t>
      </w:r>
      <w:r w:rsidRPr="00DA0D7C">
        <w:rPr>
          <w:rFonts w:cstheme="minorHAnsi"/>
        </w:rPr>
        <w:lastRenderedPageBreak/>
        <w:t xml:space="preserve">new web-portal of </w:t>
      </w:r>
      <w:proofErr w:type="spellStart"/>
      <w:r w:rsidRPr="00DA0D7C">
        <w:rPr>
          <w:rFonts w:cstheme="minorHAnsi"/>
        </w:rPr>
        <w:t>lMIS</w:t>
      </w:r>
      <w:proofErr w:type="spellEnd"/>
      <w:r w:rsidRPr="00DA0D7C">
        <w:rPr>
          <w:rFonts w:cstheme="minorHAnsi"/>
        </w:rPr>
        <w:t xml:space="preserve">- </w:t>
      </w:r>
      <w:hyperlink r:id="rId8" w:history="1">
        <w:r w:rsidRPr="00DA0D7C">
          <w:rPr>
            <w:rFonts w:cstheme="minorHAnsi"/>
          </w:rPr>
          <w:t>http://www.lmis.gov.ge/Lmis/Lmis.Portal.Web/Default.aspx</w:t>
        </w:r>
      </w:hyperlink>
      <w:r w:rsidRPr="00DA0D7C">
        <w:rPr>
          <w:rFonts w:cstheme="minorHAnsi"/>
        </w:rPr>
        <w:t xml:space="preserve"> is run by this ministry.</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In the same year, the Government approved a concept paper on continuous vocational counseling and career planning. The initiative aims at providing universally accessible services to career guidance in order to develop citizens’ competences and skills to comply with </w:t>
      </w:r>
      <w:proofErr w:type="spellStart"/>
      <w:r w:rsidRPr="00DA0D7C">
        <w:rPr>
          <w:rFonts w:cstheme="minorHAnsi"/>
        </w:rPr>
        <w:t>labour</w:t>
      </w:r>
      <w:proofErr w:type="spellEnd"/>
      <w:r w:rsidRPr="00DA0D7C">
        <w:rPr>
          <w:rFonts w:cstheme="minorHAnsi"/>
        </w:rPr>
        <w:t xml:space="preserve"> market demand. </w:t>
      </w:r>
    </w:p>
    <w:p w:rsidR="00DA0D7C" w:rsidRPr="00DA0D7C" w:rsidRDefault="00DA0D7C" w:rsidP="00DA0D7C">
      <w:pPr>
        <w:jc w:val="both"/>
        <w:rPr>
          <w:rFonts w:cstheme="minorHAnsi"/>
        </w:rPr>
      </w:pPr>
      <w:r w:rsidRPr="00DA0D7C">
        <w:rPr>
          <w:rFonts w:cstheme="minorHAnsi"/>
        </w:rPr>
        <w:t xml:space="preserve">In order to fulfil commitments taken under the EU-Georgia Association Agreement Ministry of </w:t>
      </w:r>
      <w:proofErr w:type="spellStart"/>
      <w:r w:rsidRPr="00DA0D7C">
        <w:rPr>
          <w:rFonts w:cstheme="minorHAnsi"/>
        </w:rPr>
        <w:t>Labour</w:t>
      </w:r>
      <w:proofErr w:type="spellEnd"/>
      <w:r w:rsidRPr="00DA0D7C">
        <w:rPr>
          <w:rFonts w:cstheme="minorHAnsi"/>
        </w:rPr>
        <w:t xml:space="preserve">, Health and Social Affairs of Georgia was tasked to amend </w:t>
      </w:r>
      <w:proofErr w:type="spellStart"/>
      <w:r w:rsidRPr="00DA0D7C">
        <w:rPr>
          <w:rFonts w:cstheme="minorHAnsi"/>
        </w:rPr>
        <w:t>Labour</w:t>
      </w:r>
      <w:proofErr w:type="spellEnd"/>
      <w:r w:rsidRPr="00DA0D7C">
        <w:rPr>
          <w:rFonts w:cstheme="minorHAnsi"/>
        </w:rPr>
        <w:t xml:space="preserve"> Code (in compliance with international </w:t>
      </w:r>
      <w:proofErr w:type="spellStart"/>
      <w:r w:rsidRPr="00DA0D7C">
        <w:rPr>
          <w:rFonts w:cstheme="minorHAnsi"/>
        </w:rPr>
        <w:t>labour</w:t>
      </w:r>
      <w:proofErr w:type="spellEnd"/>
      <w:r w:rsidRPr="00DA0D7C">
        <w:rPr>
          <w:rFonts w:cstheme="minorHAnsi"/>
        </w:rPr>
        <w:t xml:space="preserve"> standards) by Tripartite Social Partnership Commission and the working group under the tripartite commission was set up in 2016. In 2017, the initial drafts were prepared in compliance with the EU directives, in particular: Council Directive 2000/78/EC of 27 November 2000 establishing a general framework for equal treatment in employment and occupation; Council Directive 2000/43/EC of 29 June 2000 implementing the principle of equal treatment between persons irrespective of racial or ethnic origin; Council Directive 2004/113/EC of 13 December 2004 implementing the principle of equal treatment between men and women in the access to and supply of goods and services.  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 The mentioned legislative package was submitted to the Parliament of Georgia and is in the process of discussions.</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In 2015, the </w:t>
      </w:r>
      <w:proofErr w:type="spellStart"/>
      <w:r w:rsidRPr="00DA0D7C">
        <w:rPr>
          <w:rFonts w:cstheme="minorHAnsi"/>
        </w:rPr>
        <w:t>Labour</w:t>
      </w:r>
      <w:proofErr w:type="spellEnd"/>
      <w:r w:rsidRPr="00DA0D7C">
        <w:rPr>
          <w:rFonts w:cstheme="minorHAnsi"/>
        </w:rPr>
        <w:t xml:space="preserve"> Conditions Inspection Department was established in the Ministry of </w:t>
      </w:r>
      <w:proofErr w:type="spellStart"/>
      <w:r w:rsidRPr="00DA0D7C">
        <w:rPr>
          <w:rFonts w:cstheme="minorHAnsi"/>
        </w:rPr>
        <w:t>Labour</w:t>
      </w:r>
      <w:proofErr w:type="spellEnd"/>
      <w:r w:rsidRPr="00DA0D7C">
        <w:rPr>
          <w:rFonts w:cstheme="minorHAnsi"/>
        </w:rPr>
        <w:t xml:space="preserve">, Health and Social Affairs. The department oversees the safety of </w:t>
      </w:r>
      <w:proofErr w:type="spellStart"/>
      <w:r w:rsidRPr="00DA0D7C">
        <w:rPr>
          <w:rFonts w:cstheme="minorHAnsi"/>
        </w:rPr>
        <w:t>labour</w:t>
      </w:r>
      <w:proofErr w:type="spellEnd"/>
      <w:r w:rsidRPr="00DA0D7C">
        <w:rPr>
          <w:rFonts w:cstheme="minorHAnsi"/>
        </w:rPr>
        <w:t xml:space="preserve"> conditions and compliance with </w:t>
      </w:r>
      <w:proofErr w:type="spellStart"/>
      <w:r w:rsidRPr="00DA0D7C">
        <w:rPr>
          <w:rFonts w:cstheme="minorHAnsi"/>
        </w:rPr>
        <w:t>labour</w:t>
      </w:r>
      <w:proofErr w:type="spellEnd"/>
      <w:r w:rsidRPr="00DA0D7C">
        <w:rPr>
          <w:rFonts w:cstheme="minorHAnsi"/>
        </w:rPr>
        <w:t xml:space="preserve"> laws. “State </w:t>
      </w:r>
      <w:proofErr w:type="spellStart"/>
      <w:r w:rsidRPr="00DA0D7C">
        <w:rPr>
          <w:rFonts w:cstheme="minorHAnsi"/>
        </w:rPr>
        <w:t>Programme</w:t>
      </w:r>
      <w:proofErr w:type="spellEnd"/>
      <w:r w:rsidRPr="00DA0D7C">
        <w:rPr>
          <w:rFonts w:cstheme="minorHAnsi"/>
        </w:rPr>
        <w:t xml:space="preserve"> for Inspecting </w:t>
      </w:r>
      <w:proofErr w:type="spellStart"/>
      <w:r w:rsidRPr="00DA0D7C">
        <w:rPr>
          <w:rFonts w:cstheme="minorHAnsi"/>
        </w:rPr>
        <w:t>Labour</w:t>
      </w:r>
      <w:proofErr w:type="spellEnd"/>
      <w:r w:rsidRPr="00DA0D7C">
        <w:rPr>
          <w:rFonts w:cstheme="minorHAnsi"/>
        </w:rPr>
        <w:t xml:space="preserve"> Conditions” is being implemented by the Government of Georgia through approving the programs annually.  Resolution of Government of Georgia “On Approval of Rule of State Supervision/Labour Inspection of Prevention of and Responding on Forced Labour and Labour Exploitation” was elaborated and approved in March 2016. </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Law of Georgia on Occupational Safety was adopted by the parliament of Georgia on March 7, 2018 (entered into force on March 21st).  The law will cover hard, harmful and hazardous activities as the most dangerous spheres for workers’ health and life and after the September 1st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In 2016, the Government of Georgia approved Active </w:t>
      </w:r>
      <w:proofErr w:type="spellStart"/>
      <w:r w:rsidRPr="00DA0D7C">
        <w:rPr>
          <w:rFonts w:cstheme="minorHAnsi"/>
        </w:rPr>
        <w:t>Labour</w:t>
      </w:r>
      <w:proofErr w:type="spellEnd"/>
      <w:r w:rsidRPr="00DA0D7C">
        <w:rPr>
          <w:rFonts w:cstheme="minorHAnsi"/>
        </w:rPr>
        <w:t xml:space="preserve"> Market Policy Strategy and its Action Plan.</w:t>
      </w:r>
    </w:p>
    <w:p w:rsidR="00DA0D7C" w:rsidRPr="00DA0D7C" w:rsidRDefault="00DA0D7C" w:rsidP="00DA0D7C">
      <w:pPr>
        <w:jc w:val="both"/>
        <w:rPr>
          <w:rFonts w:cstheme="minorHAnsi"/>
        </w:rPr>
      </w:pPr>
    </w:p>
    <w:p w:rsidR="00DA0D7C" w:rsidRPr="00DA0D7C" w:rsidRDefault="00DA0D7C" w:rsidP="00DA0D7C">
      <w:pPr>
        <w:jc w:val="both"/>
        <w:rPr>
          <w:rFonts w:cstheme="minorHAnsi"/>
        </w:rPr>
      </w:pPr>
    </w:p>
    <w:p w:rsidR="00DA0D7C" w:rsidRPr="00DA0D7C" w:rsidRDefault="00DA0D7C" w:rsidP="00DA0D7C">
      <w:pPr>
        <w:jc w:val="both"/>
        <w:rPr>
          <w:rFonts w:cstheme="minorHAnsi"/>
        </w:rPr>
      </w:pPr>
      <w:bookmarkStart w:id="0" w:name="_GoBack"/>
      <w:bookmarkEnd w:id="0"/>
      <w:r w:rsidRPr="00DA0D7C">
        <w:rPr>
          <w:rFonts w:cstheme="minorHAnsi"/>
        </w:rPr>
        <w:t xml:space="preserve">The Government is implementing State </w:t>
      </w:r>
      <w:proofErr w:type="spellStart"/>
      <w:r w:rsidRPr="00DA0D7C">
        <w:rPr>
          <w:rFonts w:cstheme="minorHAnsi"/>
        </w:rPr>
        <w:t>Programme</w:t>
      </w:r>
      <w:proofErr w:type="spellEnd"/>
      <w:r w:rsidRPr="00DA0D7C">
        <w:rPr>
          <w:rFonts w:cstheme="minorHAnsi"/>
        </w:rPr>
        <w:t xml:space="preserve"> on Vocational Training and Qualification Raising of all Job Seekers aimed at raising the competitiveness of job seekers in demanded professions through education and training to increase their employability together with the State </w:t>
      </w:r>
      <w:proofErr w:type="spellStart"/>
      <w:r w:rsidRPr="00DA0D7C">
        <w:rPr>
          <w:rFonts w:cstheme="minorHAnsi"/>
        </w:rPr>
        <w:t>programme</w:t>
      </w:r>
      <w:proofErr w:type="spellEnd"/>
      <w:r w:rsidRPr="00DA0D7C">
        <w:rPr>
          <w:rFonts w:cstheme="minorHAnsi"/>
        </w:rPr>
        <w:t xml:space="preserve"> on employment support services- job mediation services. The aim of the </w:t>
      </w:r>
      <w:proofErr w:type="spellStart"/>
      <w:r w:rsidRPr="00DA0D7C">
        <w:rPr>
          <w:rFonts w:cstheme="minorHAnsi"/>
        </w:rPr>
        <w:t>programme</w:t>
      </w:r>
      <w:proofErr w:type="spellEnd"/>
      <w:r w:rsidRPr="00DA0D7C">
        <w:rPr>
          <w:rFonts w:cstheme="minorHAnsi"/>
        </w:rPr>
        <w:t xml:space="preserve"> is to develop/implement active </w:t>
      </w:r>
      <w:proofErr w:type="spellStart"/>
      <w:r w:rsidRPr="00DA0D7C">
        <w:rPr>
          <w:rFonts w:cstheme="minorHAnsi"/>
        </w:rPr>
        <w:t>labour</w:t>
      </w:r>
      <w:proofErr w:type="spellEnd"/>
      <w:r w:rsidRPr="00DA0D7C">
        <w:rPr>
          <w:rFonts w:cstheme="minorHAnsi"/>
        </w:rPr>
        <w:t xml:space="preserve"> market policy and employment support services; and increasing employment opportunities for people with disabilities. Implementation of the </w:t>
      </w:r>
      <w:proofErr w:type="spellStart"/>
      <w:r w:rsidRPr="00DA0D7C">
        <w:rPr>
          <w:rFonts w:cstheme="minorHAnsi"/>
        </w:rPr>
        <w:t>labour</w:t>
      </w:r>
      <w:proofErr w:type="spellEnd"/>
      <w:r w:rsidRPr="00DA0D7C">
        <w:rPr>
          <w:rFonts w:cstheme="minorHAnsi"/>
        </w:rPr>
        <w:t xml:space="preserve"> market policy will be resulted in development </w:t>
      </w:r>
      <w:proofErr w:type="spellStart"/>
      <w:r w:rsidRPr="00DA0D7C">
        <w:rPr>
          <w:rFonts w:cstheme="minorHAnsi"/>
        </w:rPr>
        <w:t>labour</w:t>
      </w:r>
      <w:proofErr w:type="spellEnd"/>
      <w:r w:rsidRPr="00DA0D7C">
        <w:rPr>
          <w:rFonts w:cstheme="minorHAnsi"/>
        </w:rPr>
        <w:t xml:space="preserve"> market infrastructure, reduce unemployment, reveal </w:t>
      </w:r>
      <w:proofErr w:type="spellStart"/>
      <w:r w:rsidRPr="00DA0D7C">
        <w:rPr>
          <w:rFonts w:cstheme="minorHAnsi"/>
        </w:rPr>
        <w:t>labour</w:t>
      </w:r>
      <w:proofErr w:type="spellEnd"/>
      <w:r w:rsidRPr="00DA0D7C">
        <w:rPr>
          <w:rFonts w:cstheme="minorHAnsi"/>
        </w:rPr>
        <w:t xml:space="preserve"> market demands, analyze </w:t>
      </w:r>
      <w:proofErr w:type="spellStart"/>
      <w:r w:rsidRPr="00DA0D7C">
        <w:rPr>
          <w:rFonts w:cstheme="minorHAnsi"/>
        </w:rPr>
        <w:t>labour</w:t>
      </w:r>
      <w:proofErr w:type="spellEnd"/>
      <w:r w:rsidRPr="00DA0D7C">
        <w:rPr>
          <w:rFonts w:cstheme="minorHAnsi"/>
        </w:rPr>
        <w:t xml:space="preserve"> force structure and skills, raising professional education and skills, increasing competitiveness in accordance with the </w:t>
      </w:r>
      <w:proofErr w:type="spellStart"/>
      <w:r w:rsidRPr="00DA0D7C">
        <w:rPr>
          <w:rFonts w:cstheme="minorHAnsi"/>
        </w:rPr>
        <w:t>labopr</w:t>
      </w:r>
      <w:proofErr w:type="spellEnd"/>
      <w:r w:rsidRPr="00DA0D7C">
        <w:rPr>
          <w:rFonts w:cstheme="minorHAnsi"/>
        </w:rPr>
        <w:t xml:space="preserve"> market demands, etc.</w:t>
      </w:r>
    </w:p>
    <w:p w:rsidR="00DA0D7C" w:rsidRPr="00DA0D7C" w:rsidRDefault="00DA0D7C" w:rsidP="00DA0D7C">
      <w:pPr>
        <w:jc w:val="both"/>
        <w:rPr>
          <w:rFonts w:cstheme="minorHAnsi"/>
        </w:rPr>
      </w:pPr>
    </w:p>
    <w:p w:rsidR="00DA0D7C" w:rsidRPr="00DA0D7C" w:rsidRDefault="00DA0D7C" w:rsidP="00DA0D7C">
      <w:pPr>
        <w:jc w:val="both"/>
        <w:rPr>
          <w:rFonts w:cstheme="minorHAnsi"/>
        </w:rPr>
      </w:pPr>
      <w:r>
        <w:rPr>
          <w:rFonts w:cstheme="minorHAnsi"/>
        </w:rPr>
        <w:t>A</w:t>
      </w:r>
      <w:r w:rsidRPr="00DA0D7C">
        <w:rPr>
          <w:rFonts w:cstheme="minorHAnsi"/>
        </w:rPr>
        <w:t xml:space="preserve"> roster of mediators was approved on February 10, 2017 by the Tripartite Social Partnership Commission. The roster consists of 11 independent, neutral, impartial, qualified mediators and is valid for three years. </w:t>
      </w:r>
    </w:p>
    <w:p w:rsidR="00DA0D7C" w:rsidRPr="00DA0D7C" w:rsidRDefault="00DA0D7C" w:rsidP="00DA0D7C">
      <w:pPr>
        <w:jc w:val="both"/>
        <w:rPr>
          <w:rFonts w:cstheme="minorHAnsi"/>
        </w:rPr>
      </w:pPr>
    </w:p>
    <w:p w:rsidR="00DA0D7C" w:rsidRPr="00DA0D7C" w:rsidRDefault="00DA0D7C" w:rsidP="00DA0D7C">
      <w:pPr>
        <w:jc w:val="both"/>
        <w:rPr>
          <w:rFonts w:cstheme="minorHAnsi"/>
        </w:rPr>
      </w:pPr>
    </w:p>
    <w:p w:rsidR="00DA0D7C" w:rsidRPr="00DA0D7C" w:rsidRDefault="00DA0D7C" w:rsidP="00DA0D7C">
      <w:pPr>
        <w:jc w:val="both"/>
        <w:rPr>
          <w:rFonts w:cstheme="minorHAnsi"/>
        </w:rPr>
      </w:pPr>
      <w:r w:rsidRPr="00DA0D7C">
        <w:rPr>
          <w:rFonts w:cstheme="minorHAnsi"/>
        </w:rPr>
        <w:t xml:space="preserve">Social dialogue is in the process of development. Tripartite Social Partnership Commission was established on a national level in 2013 and A Tripartite Social Partnership Commission of the Autonomous Republic of Adjara was set up in 2018. </w:t>
      </w:r>
    </w:p>
    <w:p w:rsidR="00DA0D7C" w:rsidRPr="00476C75" w:rsidRDefault="00DA0D7C" w:rsidP="004B6AF7">
      <w:pPr>
        <w:jc w:val="both"/>
        <w:rPr>
          <w:rFonts w:cstheme="minorHAnsi"/>
        </w:rPr>
      </w:pPr>
    </w:p>
    <w:sectPr w:rsidR="00DA0D7C" w:rsidRPr="00476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7A" w:rsidRDefault="00C2517A" w:rsidP="00DA0D7C">
      <w:pPr>
        <w:spacing w:after="0" w:line="240" w:lineRule="auto"/>
      </w:pPr>
      <w:r>
        <w:separator/>
      </w:r>
    </w:p>
  </w:endnote>
  <w:endnote w:type="continuationSeparator" w:id="0">
    <w:p w:rsidR="00C2517A" w:rsidRDefault="00C2517A" w:rsidP="00DA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7A" w:rsidRDefault="00C2517A" w:rsidP="00DA0D7C">
      <w:pPr>
        <w:spacing w:after="0" w:line="240" w:lineRule="auto"/>
      </w:pPr>
      <w:r>
        <w:separator/>
      </w:r>
    </w:p>
  </w:footnote>
  <w:footnote w:type="continuationSeparator" w:id="0">
    <w:p w:rsidR="00C2517A" w:rsidRDefault="00C2517A" w:rsidP="00DA0D7C">
      <w:pPr>
        <w:spacing w:after="0" w:line="240" w:lineRule="auto"/>
      </w:pPr>
      <w:r>
        <w:continuationSeparator/>
      </w:r>
    </w:p>
  </w:footnote>
  <w:footnote w:id="1">
    <w:p w:rsidR="00DA0D7C" w:rsidRDefault="00DA0D7C" w:rsidP="00DA0D7C">
      <w:pPr>
        <w:pStyle w:val="FootnoteText"/>
        <w:ind w:left="720"/>
        <w:rPr>
          <w:rStyle w:val="Hyperlink"/>
          <w:sz w:val="20"/>
          <w:szCs w:val="20"/>
        </w:rPr>
      </w:pPr>
      <w:r>
        <w:rPr>
          <w:rStyle w:val="FootnoteReference"/>
          <w:rFonts w:ascii="Franklin Gothic Book" w:hAnsi="Franklin Gothic Book"/>
          <w:sz w:val="20"/>
          <w:szCs w:val="20"/>
        </w:rPr>
        <w:t>[1]</w:t>
      </w:r>
      <w:r>
        <w:rPr>
          <w:rFonts w:ascii="Franklin Gothic Book" w:hAnsi="Franklin Gothic Book"/>
          <w:sz w:val="20"/>
          <w:szCs w:val="20"/>
        </w:rPr>
        <w:t xml:space="preserve"> </w:t>
      </w:r>
      <w:hyperlink r:id="rId1" w:history="1">
        <w:r>
          <w:rPr>
            <w:rStyle w:val="Hyperlink"/>
            <w:rFonts w:ascii="Franklin Gothic Book" w:hAnsi="Franklin Gothic Book"/>
            <w:sz w:val="20"/>
            <w:szCs w:val="20"/>
          </w:rPr>
          <w:t>http://eeas.europa.eu/enp/pdf/2014/country-reports/georgia_en.pdf</w:t>
        </w:r>
      </w:hyperlink>
    </w:p>
    <w:p w:rsidR="00DA0D7C" w:rsidRDefault="00DA0D7C" w:rsidP="00DA0D7C">
      <w:pPr>
        <w:pStyle w:val="FootnoteText"/>
        <w:ind w:left="720"/>
      </w:pPr>
      <w:r>
        <w:rPr>
          <w:rStyle w:val="Hyperlink"/>
          <w:rFonts w:ascii="Franklin Gothic Book" w:hAnsi="Franklin Gothic Book"/>
          <w:sz w:val="20"/>
          <w:szCs w:val="20"/>
        </w:rPr>
        <w:t xml:space="preserve">    </w:t>
      </w:r>
      <w:hyperlink r:id="rId2" w:history="1">
        <w:r>
          <w:rPr>
            <w:rStyle w:val="Hyperlink"/>
            <w:rFonts w:ascii="Franklin Gothic Book" w:hAnsi="Franklin Gothic Book"/>
            <w:sz w:val="20"/>
            <w:szCs w:val="20"/>
          </w:rPr>
          <w:t>http://www.ombudsman.ge/en/page/saxalxo-damcvelis-angarishi-adamianis-uflebata-mdgomareoba-saqartveloshi-2013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93786"/>
    <w:multiLevelType w:val="hybridMultilevel"/>
    <w:tmpl w:val="8BB2AE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DB"/>
    <w:rsid w:val="00005647"/>
    <w:rsid w:val="000075B8"/>
    <w:rsid w:val="00017AC2"/>
    <w:rsid w:val="00030F5E"/>
    <w:rsid w:val="0004233E"/>
    <w:rsid w:val="0006697E"/>
    <w:rsid w:val="00077DE8"/>
    <w:rsid w:val="000848F6"/>
    <w:rsid w:val="000971E7"/>
    <w:rsid w:val="000A2FCA"/>
    <w:rsid w:val="000A7E4D"/>
    <w:rsid w:val="000B0C73"/>
    <w:rsid w:val="000D2D11"/>
    <w:rsid w:val="000F6F55"/>
    <w:rsid w:val="001002A4"/>
    <w:rsid w:val="001520D9"/>
    <w:rsid w:val="001558A8"/>
    <w:rsid w:val="001600F9"/>
    <w:rsid w:val="0018547F"/>
    <w:rsid w:val="00191678"/>
    <w:rsid w:val="00193FFA"/>
    <w:rsid w:val="00272B85"/>
    <w:rsid w:val="0029712A"/>
    <w:rsid w:val="002A5CB1"/>
    <w:rsid w:val="002B4512"/>
    <w:rsid w:val="002D4565"/>
    <w:rsid w:val="002F6840"/>
    <w:rsid w:val="0033305C"/>
    <w:rsid w:val="00343F5C"/>
    <w:rsid w:val="003514A3"/>
    <w:rsid w:val="00356ABD"/>
    <w:rsid w:val="003651F5"/>
    <w:rsid w:val="00395BA3"/>
    <w:rsid w:val="003A0583"/>
    <w:rsid w:val="003A4B00"/>
    <w:rsid w:val="003C10CE"/>
    <w:rsid w:val="003D3D21"/>
    <w:rsid w:val="003E3A73"/>
    <w:rsid w:val="003E7EEF"/>
    <w:rsid w:val="003F64B0"/>
    <w:rsid w:val="004445D1"/>
    <w:rsid w:val="00476C75"/>
    <w:rsid w:val="00481A6E"/>
    <w:rsid w:val="00495D2B"/>
    <w:rsid w:val="004B6AF7"/>
    <w:rsid w:val="004D08E6"/>
    <w:rsid w:val="004D6D81"/>
    <w:rsid w:val="004F1560"/>
    <w:rsid w:val="004F1890"/>
    <w:rsid w:val="0050398D"/>
    <w:rsid w:val="00524818"/>
    <w:rsid w:val="005453A8"/>
    <w:rsid w:val="00561846"/>
    <w:rsid w:val="005701E4"/>
    <w:rsid w:val="005702F8"/>
    <w:rsid w:val="00574FAB"/>
    <w:rsid w:val="00575E4E"/>
    <w:rsid w:val="0058469A"/>
    <w:rsid w:val="005C5D09"/>
    <w:rsid w:val="005D33E7"/>
    <w:rsid w:val="005E1002"/>
    <w:rsid w:val="005E7A55"/>
    <w:rsid w:val="0061381D"/>
    <w:rsid w:val="006139C3"/>
    <w:rsid w:val="00617474"/>
    <w:rsid w:val="006322A1"/>
    <w:rsid w:val="0064290E"/>
    <w:rsid w:val="00666CC0"/>
    <w:rsid w:val="006754DD"/>
    <w:rsid w:val="006A7FD4"/>
    <w:rsid w:val="006C0AE0"/>
    <w:rsid w:val="006C2446"/>
    <w:rsid w:val="006F0BC6"/>
    <w:rsid w:val="00705237"/>
    <w:rsid w:val="00724ADF"/>
    <w:rsid w:val="00732D2E"/>
    <w:rsid w:val="007358A9"/>
    <w:rsid w:val="007358E2"/>
    <w:rsid w:val="00745973"/>
    <w:rsid w:val="00754812"/>
    <w:rsid w:val="007646D2"/>
    <w:rsid w:val="00774980"/>
    <w:rsid w:val="007846C8"/>
    <w:rsid w:val="007E33C8"/>
    <w:rsid w:val="007E48AD"/>
    <w:rsid w:val="007F07D8"/>
    <w:rsid w:val="007F7472"/>
    <w:rsid w:val="00815B61"/>
    <w:rsid w:val="008243C6"/>
    <w:rsid w:val="00835100"/>
    <w:rsid w:val="0085449C"/>
    <w:rsid w:val="00881FC2"/>
    <w:rsid w:val="008A2FA1"/>
    <w:rsid w:val="008B2B85"/>
    <w:rsid w:val="008B3300"/>
    <w:rsid w:val="008B7993"/>
    <w:rsid w:val="008C07A0"/>
    <w:rsid w:val="008F564D"/>
    <w:rsid w:val="00906145"/>
    <w:rsid w:val="00943C9C"/>
    <w:rsid w:val="00976323"/>
    <w:rsid w:val="009A1581"/>
    <w:rsid w:val="009A3DBD"/>
    <w:rsid w:val="009B2570"/>
    <w:rsid w:val="00A1365F"/>
    <w:rsid w:val="00A22DA4"/>
    <w:rsid w:val="00A27D62"/>
    <w:rsid w:val="00A374C3"/>
    <w:rsid w:val="00A51551"/>
    <w:rsid w:val="00A52FD8"/>
    <w:rsid w:val="00A553A8"/>
    <w:rsid w:val="00A56B2C"/>
    <w:rsid w:val="00AD3A3C"/>
    <w:rsid w:val="00AE7A6E"/>
    <w:rsid w:val="00B23E64"/>
    <w:rsid w:val="00B4262B"/>
    <w:rsid w:val="00B65DF1"/>
    <w:rsid w:val="00BA452E"/>
    <w:rsid w:val="00C14DE8"/>
    <w:rsid w:val="00C2517A"/>
    <w:rsid w:val="00C352C5"/>
    <w:rsid w:val="00C63845"/>
    <w:rsid w:val="00C65C06"/>
    <w:rsid w:val="00C73A46"/>
    <w:rsid w:val="00C77C45"/>
    <w:rsid w:val="00C80829"/>
    <w:rsid w:val="00CB6693"/>
    <w:rsid w:val="00CE17EA"/>
    <w:rsid w:val="00CE3B99"/>
    <w:rsid w:val="00D0377C"/>
    <w:rsid w:val="00D111DB"/>
    <w:rsid w:val="00D1558F"/>
    <w:rsid w:val="00D27EEC"/>
    <w:rsid w:val="00D4700E"/>
    <w:rsid w:val="00D61335"/>
    <w:rsid w:val="00D659F9"/>
    <w:rsid w:val="00DA0D7C"/>
    <w:rsid w:val="00DB145E"/>
    <w:rsid w:val="00DC69D2"/>
    <w:rsid w:val="00DD4A1F"/>
    <w:rsid w:val="00DE3467"/>
    <w:rsid w:val="00DE58A0"/>
    <w:rsid w:val="00DF5F74"/>
    <w:rsid w:val="00E01350"/>
    <w:rsid w:val="00E06C4F"/>
    <w:rsid w:val="00E12229"/>
    <w:rsid w:val="00E41E61"/>
    <w:rsid w:val="00E70AE4"/>
    <w:rsid w:val="00E7197E"/>
    <w:rsid w:val="00E9229C"/>
    <w:rsid w:val="00EA0FF3"/>
    <w:rsid w:val="00EA19AD"/>
    <w:rsid w:val="00EA3CAC"/>
    <w:rsid w:val="00EB4452"/>
    <w:rsid w:val="00EB4C23"/>
    <w:rsid w:val="00EC78B0"/>
    <w:rsid w:val="00EF5E71"/>
    <w:rsid w:val="00F16C4B"/>
    <w:rsid w:val="00F3115E"/>
    <w:rsid w:val="00F40891"/>
    <w:rsid w:val="00F43839"/>
    <w:rsid w:val="00F514DB"/>
    <w:rsid w:val="00F5188C"/>
    <w:rsid w:val="00F6144D"/>
    <w:rsid w:val="00F705DD"/>
    <w:rsid w:val="00F7281E"/>
    <w:rsid w:val="00F8249D"/>
    <w:rsid w:val="00F83BB6"/>
    <w:rsid w:val="00FA510D"/>
    <w:rsid w:val="00FB6AD1"/>
    <w:rsid w:val="00FC7765"/>
    <w:rsid w:val="00FD1D2B"/>
    <w:rsid w:val="00FE4E9C"/>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F7"/>
    <w:rPr>
      <w:rFonts w:ascii="Segoe UI" w:hAnsi="Segoe UI" w:cs="Segoe UI"/>
      <w:sz w:val="18"/>
      <w:szCs w:val="18"/>
    </w:rPr>
  </w:style>
  <w:style w:type="paragraph" w:styleId="BodyText">
    <w:name w:val="Body Text"/>
    <w:basedOn w:val="Normal"/>
    <w:link w:val="BodyTextChar"/>
    <w:uiPriority w:val="1"/>
    <w:qFormat/>
    <w:rsid w:val="003E7EEF"/>
    <w:pPr>
      <w:widowControl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3E7EEF"/>
    <w:rPr>
      <w:rFonts w:ascii="Sylfaen" w:eastAsia="Sylfaen" w:hAnsi="Sylfaen" w:cs="Sylfaen"/>
    </w:rPr>
  </w:style>
  <w:style w:type="paragraph" w:styleId="ListParagraph">
    <w:name w:val="List Paragraph"/>
    <w:aliases w:val="Recommendation,List Paragraph1,List Paragraph11,List Paragraph2,Dot pt,F5 List Paragraph,List Paragraph Char Char Char,Indicator Text,Colorful List - Accent 11,Numbered Para 1,Bullet 1,Bullet Points,MAIN CONTENT,Normal numbered,3,Bullet1"/>
    <w:basedOn w:val="Normal"/>
    <w:link w:val="ListParagraphChar"/>
    <w:uiPriority w:val="34"/>
    <w:qFormat/>
    <w:rsid w:val="009A3DB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Recommendation Char,List Paragraph1 Char,List Paragraph11 Char,List Paragraph2 Char,Dot pt Char,F5 List Paragraph Char,List Paragraph Char Char Char Char,Indicator Text Char,Colorful List - Accent 11 Char,Numbered Para 1 Char,3 Char"/>
    <w:link w:val="ListParagraph"/>
    <w:uiPriority w:val="34"/>
    <w:locked/>
    <w:rsid w:val="009A3DBD"/>
    <w:rPr>
      <w:rFonts w:ascii="Calibri" w:eastAsia="Times New Roman" w:hAnsi="Calibri" w:cs="Times New Roman"/>
    </w:rPr>
  </w:style>
  <w:style w:type="character" w:styleId="CommentReference">
    <w:name w:val="annotation reference"/>
    <w:basedOn w:val="DefaultParagraphFont"/>
    <w:uiPriority w:val="99"/>
    <w:semiHidden/>
    <w:unhideWhenUsed/>
    <w:rsid w:val="005E7A55"/>
    <w:rPr>
      <w:sz w:val="16"/>
      <w:szCs w:val="16"/>
    </w:rPr>
  </w:style>
  <w:style w:type="paragraph" w:styleId="CommentText">
    <w:name w:val="annotation text"/>
    <w:basedOn w:val="Normal"/>
    <w:link w:val="CommentTextChar"/>
    <w:uiPriority w:val="99"/>
    <w:semiHidden/>
    <w:unhideWhenUsed/>
    <w:rsid w:val="005E7A55"/>
    <w:pPr>
      <w:spacing w:line="240" w:lineRule="auto"/>
    </w:pPr>
    <w:rPr>
      <w:sz w:val="20"/>
      <w:szCs w:val="20"/>
    </w:rPr>
  </w:style>
  <w:style w:type="character" w:customStyle="1" w:styleId="CommentTextChar">
    <w:name w:val="Comment Text Char"/>
    <w:basedOn w:val="DefaultParagraphFont"/>
    <w:link w:val="CommentText"/>
    <w:uiPriority w:val="99"/>
    <w:semiHidden/>
    <w:rsid w:val="005E7A55"/>
    <w:rPr>
      <w:sz w:val="20"/>
      <w:szCs w:val="20"/>
    </w:rPr>
  </w:style>
  <w:style w:type="paragraph" w:styleId="CommentSubject">
    <w:name w:val="annotation subject"/>
    <w:basedOn w:val="CommentText"/>
    <w:next w:val="CommentText"/>
    <w:link w:val="CommentSubjectChar"/>
    <w:uiPriority w:val="99"/>
    <w:semiHidden/>
    <w:unhideWhenUsed/>
    <w:rsid w:val="005E7A55"/>
    <w:rPr>
      <w:b/>
      <w:bCs/>
    </w:rPr>
  </w:style>
  <w:style w:type="character" w:customStyle="1" w:styleId="CommentSubjectChar">
    <w:name w:val="Comment Subject Char"/>
    <w:basedOn w:val="CommentTextChar"/>
    <w:link w:val="CommentSubject"/>
    <w:uiPriority w:val="99"/>
    <w:semiHidden/>
    <w:rsid w:val="005E7A55"/>
    <w:rPr>
      <w:b/>
      <w:bCs/>
      <w:sz w:val="20"/>
      <w:szCs w:val="20"/>
    </w:rPr>
  </w:style>
  <w:style w:type="character" w:styleId="Hyperlink">
    <w:name w:val="Hyperlink"/>
    <w:basedOn w:val="DefaultParagraphFont"/>
    <w:uiPriority w:val="99"/>
    <w:semiHidden/>
    <w:unhideWhenUsed/>
    <w:rsid w:val="00DA0D7C"/>
    <w:rPr>
      <w:color w:val="0563C1"/>
      <w:u w:val="single"/>
    </w:rPr>
  </w:style>
  <w:style w:type="paragraph" w:styleId="FootnoteText">
    <w:name w:val="footnote text"/>
    <w:basedOn w:val="Normal"/>
    <w:link w:val="FootnoteTextChar"/>
    <w:uiPriority w:val="99"/>
    <w:semiHidden/>
    <w:unhideWhenUsed/>
    <w:rsid w:val="00DA0D7C"/>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A0D7C"/>
    <w:rPr>
      <w:rFonts w:ascii="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stylish,Footnote Ref,16 Point"/>
    <w:basedOn w:val="DefaultParagraphFont"/>
    <w:link w:val="ftrefCharChar"/>
    <w:uiPriority w:val="99"/>
    <w:unhideWhenUsed/>
    <w:rsid w:val="00DA0D7C"/>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DA0D7C"/>
    <w:pPr>
      <w:spacing w:line="240" w:lineRule="exact"/>
      <w:jc w:val="both"/>
    </w:pPr>
    <w:rPr>
      <w:vertAlign w:val="superscript"/>
    </w:rPr>
  </w:style>
  <w:style w:type="paragraph" w:customStyle="1" w:styleId="doc-ti">
    <w:name w:val="doc-ti"/>
    <w:basedOn w:val="Normal"/>
    <w:rsid w:val="00DA0D7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F7"/>
    <w:rPr>
      <w:rFonts w:ascii="Segoe UI" w:hAnsi="Segoe UI" w:cs="Segoe UI"/>
      <w:sz w:val="18"/>
      <w:szCs w:val="18"/>
    </w:rPr>
  </w:style>
  <w:style w:type="paragraph" w:styleId="BodyText">
    <w:name w:val="Body Text"/>
    <w:basedOn w:val="Normal"/>
    <w:link w:val="BodyTextChar"/>
    <w:uiPriority w:val="1"/>
    <w:qFormat/>
    <w:rsid w:val="003E7EEF"/>
    <w:pPr>
      <w:widowControl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3E7EEF"/>
    <w:rPr>
      <w:rFonts w:ascii="Sylfaen" w:eastAsia="Sylfaen" w:hAnsi="Sylfaen" w:cs="Sylfaen"/>
    </w:rPr>
  </w:style>
  <w:style w:type="paragraph" w:styleId="ListParagraph">
    <w:name w:val="List Paragraph"/>
    <w:aliases w:val="Recommendation,List Paragraph1,List Paragraph11,List Paragraph2,Dot pt,F5 List Paragraph,List Paragraph Char Char Char,Indicator Text,Colorful List - Accent 11,Numbered Para 1,Bullet 1,Bullet Points,MAIN CONTENT,Normal numbered,3,Bullet1"/>
    <w:basedOn w:val="Normal"/>
    <w:link w:val="ListParagraphChar"/>
    <w:uiPriority w:val="34"/>
    <w:qFormat/>
    <w:rsid w:val="009A3DB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Recommendation Char,List Paragraph1 Char,List Paragraph11 Char,List Paragraph2 Char,Dot pt Char,F5 List Paragraph Char,List Paragraph Char Char Char Char,Indicator Text Char,Colorful List - Accent 11 Char,Numbered Para 1 Char,3 Char"/>
    <w:link w:val="ListParagraph"/>
    <w:uiPriority w:val="34"/>
    <w:locked/>
    <w:rsid w:val="009A3DBD"/>
    <w:rPr>
      <w:rFonts w:ascii="Calibri" w:eastAsia="Times New Roman" w:hAnsi="Calibri" w:cs="Times New Roman"/>
    </w:rPr>
  </w:style>
  <w:style w:type="character" w:styleId="CommentReference">
    <w:name w:val="annotation reference"/>
    <w:basedOn w:val="DefaultParagraphFont"/>
    <w:uiPriority w:val="99"/>
    <w:semiHidden/>
    <w:unhideWhenUsed/>
    <w:rsid w:val="005E7A55"/>
    <w:rPr>
      <w:sz w:val="16"/>
      <w:szCs w:val="16"/>
    </w:rPr>
  </w:style>
  <w:style w:type="paragraph" w:styleId="CommentText">
    <w:name w:val="annotation text"/>
    <w:basedOn w:val="Normal"/>
    <w:link w:val="CommentTextChar"/>
    <w:uiPriority w:val="99"/>
    <w:semiHidden/>
    <w:unhideWhenUsed/>
    <w:rsid w:val="005E7A55"/>
    <w:pPr>
      <w:spacing w:line="240" w:lineRule="auto"/>
    </w:pPr>
    <w:rPr>
      <w:sz w:val="20"/>
      <w:szCs w:val="20"/>
    </w:rPr>
  </w:style>
  <w:style w:type="character" w:customStyle="1" w:styleId="CommentTextChar">
    <w:name w:val="Comment Text Char"/>
    <w:basedOn w:val="DefaultParagraphFont"/>
    <w:link w:val="CommentText"/>
    <w:uiPriority w:val="99"/>
    <w:semiHidden/>
    <w:rsid w:val="005E7A55"/>
    <w:rPr>
      <w:sz w:val="20"/>
      <w:szCs w:val="20"/>
    </w:rPr>
  </w:style>
  <w:style w:type="paragraph" w:styleId="CommentSubject">
    <w:name w:val="annotation subject"/>
    <w:basedOn w:val="CommentText"/>
    <w:next w:val="CommentText"/>
    <w:link w:val="CommentSubjectChar"/>
    <w:uiPriority w:val="99"/>
    <w:semiHidden/>
    <w:unhideWhenUsed/>
    <w:rsid w:val="005E7A55"/>
    <w:rPr>
      <w:b/>
      <w:bCs/>
    </w:rPr>
  </w:style>
  <w:style w:type="character" w:customStyle="1" w:styleId="CommentSubjectChar">
    <w:name w:val="Comment Subject Char"/>
    <w:basedOn w:val="CommentTextChar"/>
    <w:link w:val="CommentSubject"/>
    <w:uiPriority w:val="99"/>
    <w:semiHidden/>
    <w:rsid w:val="005E7A55"/>
    <w:rPr>
      <w:b/>
      <w:bCs/>
      <w:sz w:val="20"/>
      <w:szCs w:val="20"/>
    </w:rPr>
  </w:style>
  <w:style w:type="character" w:styleId="Hyperlink">
    <w:name w:val="Hyperlink"/>
    <w:basedOn w:val="DefaultParagraphFont"/>
    <w:uiPriority w:val="99"/>
    <w:semiHidden/>
    <w:unhideWhenUsed/>
    <w:rsid w:val="00DA0D7C"/>
    <w:rPr>
      <w:color w:val="0563C1"/>
      <w:u w:val="single"/>
    </w:rPr>
  </w:style>
  <w:style w:type="paragraph" w:styleId="FootnoteText">
    <w:name w:val="footnote text"/>
    <w:basedOn w:val="Normal"/>
    <w:link w:val="FootnoteTextChar"/>
    <w:uiPriority w:val="99"/>
    <w:semiHidden/>
    <w:unhideWhenUsed/>
    <w:rsid w:val="00DA0D7C"/>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A0D7C"/>
    <w:rPr>
      <w:rFonts w:ascii="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stylish,Footnote Ref,16 Point"/>
    <w:basedOn w:val="DefaultParagraphFont"/>
    <w:link w:val="ftrefCharChar"/>
    <w:uiPriority w:val="99"/>
    <w:unhideWhenUsed/>
    <w:rsid w:val="00DA0D7C"/>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DA0D7C"/>
    <w:pPr>
      <w:spacing w:line="240" w:lineRule="exact"/>
      <w:jc w:val="both"/>
    </w:pPr>
    <w:rPr>
      <w:vertAlign w:val="superscript"/>
    </w:rPr>
  </w:style>
  <w:style w:type="paragraph" w:customStyle="1" w:styleId="doc-ti">
    <w:name w:val="doc-ti"/>
    <w:basedOn w:val="Normal"/>
    <w:rsid w:val="00DA0D7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0196">
      <w:bodyDiv w:val="1"/>
      <w:marLeft w:val="0"/>
      <w:marRight w:val="0"/>
      <w:marTop w:val="0"/>
      <w:marBottom w:val="0"/>
      <w:divBdr>
        <w:top w:val="none" w:sz="0" w:space="0" w:color="auto"/>
        <w:left w:val="none" w:sz="0" w:space="0" w:color="auto"/>
        <w:bottom w:val="none" w:sz="0" w:space="0" w:color="auto"/>
        <w:right w:val="none" w:sz="0" w:space="0" w:color="auto"/>
      </w:divBdr>
    </w:div>
    <w:div w:id="395667940">
      <w:bodyDiv w:val="1"/>
      <w:marLeft w:val="0"/>
      <w:marRight w:val="0"/>
      <w:marTop w:val="0"/>
      <w:marBottom w:val="0"/>
      <w:divBdr>
        <w:top w:val="none" w:sz="0" w:space="0" w:color="auto"/>
        <w:left w:val="none" w:sz="0" w:space="0" w:color="auto"/>
        <w:bottom w:val="none" w:sz="0" w:space="0" w:color="auto"/>
        <w:right w:val="none" w:sz="0" w:space="0" w:color="auto"/>
      </w:divBdr>
    </w:div>
    <w:div w:id="526067680">
      <w:bodyDiv w:val="1"/>
      <w:marLeft w:val="0"/>
      <w:marRight w:val="0"/>
      <w:marTop w:val="0"/>
      <w:marBottom w:val="0"/>
      <w:divBdr>
        <w:top w:val="none" w:sz="0" w:space="0" w:color="auto"/>
        <w:left w:val="none" w:sz="0" w:space="0" w:color="auto"/>
        <w:bottom w:val="none" w:sz="0" w:space="0" w:color="auto"/>
        <w:right w:val="none" w:sz="0" w:space="0" w:color="auto"/>
      </w:divBdr>
    </w:div>
    <w:div w:id="542399732">
      <w:bodyDiv w:val="1"/>
      <w:marLeft w:val="0"/>
      <w:marRight w:val="0"/>
      <w:marTop w:val="0"/>
      <w:marBottom w:val="0"/>
      <w:divBdr>
        <w:top w:val="none" w:sz="0" w:space="0" w:color="auto"/>
        <w:left w:val="none" w:sz="0" w:space="0" w:color="auto"/>
        <w:bottom w:val="none" w:sz="0" w:space="0" w:color="auto"/>
        <w:right w:val="none" w:sz="0" w:space="0" w:color="auto"/>
      </w:divBdr>
    </w:div>
    <w:div w:id="797602496">
      <w:bodyDiv w:val="1"/>
      <w:marLeft w:val="0"/>
      <w:marRight w:val="0"/>
      <w:marTop w:val="0"/>
      <w:marBottom w:val="0"/>
      <w:divBdr>
        <w:top w:val="none" w:sz="0" w:space="0" w:color="auto"/>
        <w:left w:val="none" w:sz="0" w:space="0" w:color="auto"/>
        <w:bottom w:val="none" w:sz="0" w:space="0" w:color="auto"/>
        <w:right w:val="none" w:sz="0" w:space="0" w:color="auto"/>
      </w:divBdr>
      <w:divsChild>
        <w:div w:id="1771927175">
          <w:marLeft w:val="0"/>
          <w:marRight w:val="0"/>
          <w:marTop w:val="0"/>
          <w:marBottom w:val="0"/>
          <w:divBdr>
            <w:top w:val="none" w:sz="0" w:space="0" w:color="auto"/>
            <w:left w:val="none" w:sz="0" w:space="0" w:color="auto"/>
            <w:bottom w:val="none" w:sz="0" w:space="0" w:color="auto"/>
            <w:right w:val="none" w:sz="0" w:space="0" w:color="auto"/>
          </w:divBdr>
          <w:divsChild>
            <w:div w:id="1027946606">
              <w:marLeft w:val="0"/>
              <w:marRight w:val="60"/>
              <w:marTop w:val="0"/>
              <w:marBottom w:val="0"/>
              <w:divBdr>
                <w:top w:val="none" w:sz="0" w:space="0" w:color="auto"/>
                <w:left w:val="none" w:sz="0" w:space="0" w:color="auto"/>
                <w:bottom w:val="none" w:sz="0" w:space="0" w:color="auto"/>
                <w:right w:val="none" w:sz="0" w:space="0" w:color="auto"/>
              </w:divBdr>
              <w:divsChild>
                <w:div w:id="401949103">
                  <w:marLeft w:val="0"/>
                  <w:marRight w:val="0"/>
                  <w:marTop w:val="0"/>
                  <w:marBottom w:val="120"/>
                  <w:divBdr>
                    <w:top w:val="single" w:sz="6" w:space="0" w:color="C0C0C0"/>
                    <w:left w:val="single" w:sz="6" w:space="0" w:color="D9D9D9"/>
                    <w:bottom w:val="single" w:sz="6" w:space="0" w:color="D9D9D9"/>
                    <w:right w:val="single" w:sz="6" w:space="0" w:color="D9D9D9"/>
                  </w:divBdr>
                  <w:divsChild>
                    <w:div w:id="351491678">
                      <w:marLeft w:val="0"/>
                      <w:marRight w:val="0"/>
                      <w:marTop w:val="0"/>
                      <w:marBottom w:val="0"/>
                      <w:divBdr>
                        <w:top w:val="none" w:sz="0" w:space="0" w:color="auto"/>
                        <w:left w:val="none" w:sz="0" w:space="0" w:color="auto"/>
                        <w:bottom w:val="none" w:sz="0" w:space="0" w:color="auto"/>
                        <w:right w:val="none" w:sz="0" w:space="0" w:color="auto"/>
                      </w:divBdr>
                    </w:div>
                    <w:div w:id="94636156">
                      <w:marLeft w:val="0"/>
                      <w:marRight w:val="0"/>
                      <w:marTop w:val="0"/>
                      <w:marBottom w:val="0"/>
                      <w:divBdr>
                        <w:top w:val="none" w:sz="0" w:space="0" w:color="auto"/>
                        <w:left w:val="none" w:sz="0" w:space="0" w:color="auto"/>
                        <w:bottom w:val="none" w:sz="0" w:space="0" w:color="auto"/>
                        <w:right w:val="none" w:sz="0" w:space="0" w:color="auto"/>
                      </w:divBdr>
                    </w:div>
                  </w:divsChild>
                </w:div>
                <w:div w:id="203210601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960765879">
          <w:marLeft w:val="0"/>
          <w:marRight w:val="0"/>
          <w:marTop w:val="0"/>
          <w:marBottom w:val="0"/>
          <w:divBdr>
            <w:top w:val="none" w:sz="0" w:space="0" w:color="auto"/>
            <w:left w:val="none" w:sz="0" w:space="0" w:color="auto"/>
            <w:bottom w:val="none" w:sz="0" w:space="0" w:color="auto"/>
            <w:right w:val="none" w:sz="0" w:space="0" w:color="auto"/>
          </w:divBdr>
          <w:divsChild>
            <w:div w:id="1691713186">
              <w:marLeft w:val="60"/>
              <w:marRight w:val="0"/>
              <w:marTop w:val="0"/>
              <w:marBottom w:val="0"/>
              <w:divBdr>
                <w:top w:val="none" w:sz="0" w:space="0" w:color="auto"/>
                <w:left w:val="none" w:sz="0" w:space="0" w:color="auto"/>
                <w:bottom w:val="none" w:sz="0" w:space="0" w:color="auto"/>
                <w:right w:val="none" w:sz="0" w:space="0" w:color="auto"/>
              </w:divBdr>
              <w:divsChild>
                <w:div w:id="837232675">
                  <w:marLeft w:val="0"/>
                  <w:marRight w:val="0"/>
                  <w:marTop w:val="0"/>
                  <w:marBottom w:val="0"/>
                  <w:divBdr>
                    <w:top w:val="none" w:sz="0" w:space="0" w:color="auto"/>
                    <w:left w:val="none" w:sz="0" w:space="0" w:color="auto"/>
                    <w:bottom w:val="none" w:sz="0" w:space="0" w:color="auto"/>
                    <w:right w:val="none" w:sz="0" w:space="0" w:color="auto"/>
                  </w:divBdr>
                  <w:divsChild>
                    <w:div w:id="1539200958">
                      <w:marLeft w:val="0"/>
                      <w:marRight w:val="0"/>
                      <w:marTop w:val="0"/>
                      <w:marBottom w:val="120"/>
                      <w:divBdr>
                        <w:top w:val="single" w:sz="6" w:space="0" w:color="F5F5F5"/>
                        <w:left w:val="single" w:sz="6" w:space="0" w:color="F5F5F5"/>
                        <w:bottom w:val="single" w:sz="6" w:space="0" w:color="F5F5F5"/>
                        <w:right w:val="single" w:sz="6" w:space="0" w:color="F5F5F5"/>
                      </w:divBdr>
                      <w:divsChild>
                        <w:div w:id="754396809">
                          <w:marLeft w:val="0"/>
                          <w:marRight w:val="0"/>
                          <w:marTop w:val="0"/>
                          <w:marBottom w:val="0"/>
                          <w:divBdr>
                            <w:top w:val="none" w:sz="0" w:space="0" w:color="auto"/>
                            <w:left w:val="none" w:sz="0" w:space="0" w:color="auto"/>
                            <w:bottom w:val="none" w:sz="0" w:space="0" w:color="auto"/>
                            <w:right w:val="none" w:sz="0" w:space="0" w:color="auto"/>
                          </w:divBdr>
                          <w:divsChild>
                            <w:div w:id="1310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4240">
      <w:bodyDiv w:val="1"/>
      <w:marLeft w:val="0"/>
      <w:marRight w:val="0"/>
      <w:marTop w:val="0"/>
      <w:marBottom w:val="0"/>
      <w:divBdr>
        <w:top w:val="none" w:sz="0" w:space="0" w:color="auto"/>
        <w:left w:val="none" w:sz="0" w:space="0" w:color="auto"/>
        <w:bottom w:val="none" w:sz="0" w:space="0" w:color="auto"/>
        <w:right w:val="none" w:sz="0" w:space="0" w:color="auto"/>
      </w:divBdr>
    </w:div>
    <w:div w:id="20202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mbudsman.ge/en/page/saxalxo-damcvelis-angarishi-adamianis-uflebata-mdgomareoba-saqartveloshi-2013" TargetMode="External"/><Relationship Id="rId1" Type="http://schemas.openxmlformats.org/officeDocument/2006/relationships/hyperlink" Target="http://eeas.europa.eu/enp/pdf/2014/country-reports/georgi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Mikabadze</dc:creator>
  <cp:lastModifiedBy>Elza Jgerenaia</cp:lastModifiedBy>
  <cp:revision>2</cp:revision>
  <cp:lastPrinted>2018-01-22T09:38:00Z</cp:lastPrinted>
  <dcterms:created xsi:type="dcterms:W3CDTF">2018-06-01T14:17:00Z</dcterms:created>
  <dcterms:modified xsi:type="dcterms:W3CDTF">2018-06-01T14:17:00Z</dcterms:modified>
</cp:coreProperties>
</file>